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3DA5D">
      <w:pPr>
        <w:pStyle w:val="4"/>
        <w:spacing w:before="0" w:after="0" w:line="240" w:lineRule="auto"/>
        <w:jc w:val="center"/>
        <w:rPr>
          <w:lang w:bidi="ar"/>
        </w:rPr>
      </w:pPr>
      <w:r>
        <w:rPr>
          <w:rFonts w:hint="eastAsia"/>
          <w:lang w:bidi="ar"/>
        </w:rPr>
        <w:t>浙江水利水电学院</w:t>
      </w:r>
    </w:p>
    <w:p w14:paraId="23EBCEEA">
      <w:pPr>
        <w:pStyle w:val="4"/>
        <w:spacing w:before="0" w:line="240" w:lineRule="auto"/>
        <w:jc w:val="center"/>
        <w:rPr>
          <w:rFonts w:hint="eastAsia" w:eastAsia="宋体"/>
          <w:lang w:val="en-US" w:eastAsia="zh-CN" w:bidi="ar"/>
        </w:rPr>
      </w:pPr>
      <w:r>
        <w:rPr>
          <w:rFonts w:hint="eastAsia"/>
          <w:lang w:bidi="ar"/>
        </w:rPr>
        <w:t>202</w:t>
      </w:r>
      <w:r>
        <w:rPr>
          <w:rFonts w:hint="eastAsia"/>
          <w:lang w:val="en-US" w:eastAsia="zh-CN" w:bidi="ar"/>
        </w:rPr>
        <w:t>5</w:t>
      </w:r>
      <w:r>
        <w:rPr>
          <w:rFonts w:hint="eastAsia"/>
          <w:lang w:bidi="ar"/>
        </w:rPr>
        <w:t>年信息系统网络安全等保测评服务采购</w:t>
      </w:r>
      <w:r>
        <w:rPr>
          <w:rFonts w:hint="eastAsia"/>
          <w:lang w:val="en-US" w:eastAsia="zh-CN" w:bidi="ar"/>
        </w:rPr>
        <w:t>需求</w:t>
      </w:r>
    </w:p>
    <w:p w14:paraId="49F20DCA">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b/>
          <w:sz w:val="30"/>
          <w:szCs w:val="30"/>
        </w:rPr>
      </w:pPr>
      <w:r>
        <w:rPr>
          <w:b/>
          <w:sz w:val="30"/>
          <w:szCs w:val="30"/>
        </w:rPr>
        <w:t>一、项目概况</w:t>
      </w:r>
    </w:p>
    <w:p w14:paraId="343DA2F0">
      <w:pPr>
        <w:spacing w:before="60" w:after="60"/>
        <w:rPr>
          <w:b/>
          <w:bCs/>
          <w:iCs/>
          <w:sz w:val="24"/>
        </w:rPr>
      </w:pPr>
      <w:r>
        <w:rPr>
          <w:b/>
          <w:bCs/>
          <w:iCs/>
          <w:sz w:val="24"/>
        </w:rPr>
        <w:t>（一）服务内容</w:t>
      </w:r>
    </w:p>
    <w:p w14:paraId="5DBD0B1E">
      <w:pPr>
        <w:spacing w:line="240" w:lineRule="auto"/>
        <w:ind w:firstLine="480" w:firstLineChars="200"/>
        <w:rPr>
          <w:sz w:val="24"/>
        </w:rPr>
      </w:pPr>
      <w:r>
        <w:rPr>
          <w:sz w:val="24"/>
        </w:rPr>
        <w:t>依据《中华人民共和国网络安全法》《中华人民共和国计算机信息系统安全保护条例》（国务院147号令）和《信息安全等级保护管理办法》等相关文件及标准要求，浙江水利水电学院拟对部分信息系统开展等保测评工作，请</w:t>
      </w:r>
      <w:r>
        <w:rPr>
          <w:rFonts w:hint="eastAsia"/>
          <w:sz w:val="24"/>
        </w:rPr>
        <w:t>各</w:t>
      </w:r>
      <w:r>
        <w:rPr>
          <w:sz w:val="24"/>
        </w:rPr>
        <w:t>供应商根据各自情况对</w:t>
      </w:r>
      <w:r>
        <w:rPr>
          <w:rFonts w:hint="eastAsia"/>
          <w:sz w:val="24"/>
        </w:rPr>
        <w:t>以下</w:t>
      </w:r>
      <w:r>
        <w:rPr>
          <w:sz w:val="24"/>
        </w:rPr>
        <w:t>信息系统进行报价</w:t>
      </w:r>
      <w:r>
        <w:rPr>
          <w:b w:val="0"/>
          <w:bCs w:val="0"/>
          <w:sz w:val="24"/>
        </w:rPr>
        <w:t>，总价最高限价为</w:t>
      </w:r>
      <w:r>
        <w:rPr>
          <w:rFonts w:hint="eastAsia"/>
          <w:b w:val="0"/>
          <w:bCs w:val="0"/>
          <w:sz w:val="24"/>
          <w:lang w:val="en-US" w:eastAsia="zh-CN"/>
        </w:rPr>
        <w:t>9.8</w:t>
      </w:r>
      <w:r>
        <w:rPr>
          <w:b w:val="0"/>
          <w:bCs w:val="0"/>
          <w:sz w:val="24"/>
        </w:rPr>
        <w:t>万元。</w:t>
      </w:r>
      <w:r>
        <w:rPr>
          <w:sz w:val="24"/>
        </w:rPr>
        <w:t>具体信息系统情况如下表：</w:t>
      </w:r>
    </w:p>
    <w:tbl>
      <w:tblPr>
        <w:tblStyle w:val="21"/>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1380"/>
        <w:gridCol w:w="1365"/>
        <w:gridCol w:w="1335"/>
        <w:gridCol w:w="1410"/>
        <w:gridCol w:w="1965"/>
      </w:tblGrid>
      <w:tr w14:paraId="6842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10" w:type="dxa"/>
            <w:vAlign w:val="center"/>
          </w:tcPr>
          <w:p w14:paraId="19A0D906">
            <w:pPr>
              <w:jc w:val="center"/>
              <w:rPr>
                <w:rFonts w:hint="eastAsia" w:eastAsia="宋体"/>
                <w:b/>
                <w:bCs/>
                <w:sz w:val="24"/>
                <w:vertAlign w:val="baseline"/>
                <w:lang w:val="en-US" w:eastAsia="zh-CN"/>
              </w:rPr>
            </w:pPr>
            <w:r>
              <w:rPr>
                <w:rFonts w:hint="eastAsia"/>
                <w:b/>
                <w:bCs/>
                <w:sz w:val="24"/>
                <w:vertAlign w:val="baseline"/>
                <w:lang w:val="en-US" w:eastAsia="zh-CN"/>
              </w:rPr>
              <w:t>序号</w:t>
            </w:r>
          </w:p>
        </w:tc>
        <w:tc>
          <w:tcPr>
            <w:tcW w:w="1380" w:type="dxa"/>
            <w:vAlign w:val="center"/>
          </w:tcPr>
          <w:p w14:paraId="6A56FA25">
            <w:pPr>
              <w:jc w:val="center"/>
              <w:rPr>
                <w:rFonts w:hint="default" w:eastAsia="宋体"/>
                <w:b/>
                <w:bCs/>
                <w:sz w:val="24"/>
                <w:vertAlign w:val="baseline"/>
                <w:lang w:val="en-US" w:eastAsia="zh-CN"/>
              </w:rPr>
            </w:pPr>
            <w:r>
              <w:rPr>
                <w:rFonts w:hint="eastAsia"/>
                <w:b/>
                <w:bCs/>
                <w:sz w:val="24"/>
                <w:vertAlign w:val="baseline"/>
                <w:lang w:val="en-US" w:eastAsia="zh-CN"/>
              </w:rPr>
              <w:t>系统名称</w:t>
            </w:r>
          </w:p>
        </w:tc>
        <w:tc>
          <w:tcPr>
            <w:tcW w:w="1365" w:type="dxa"/>
            <w:vAlign w:val="center"/>
          </w:tcPr>
          <w:p w14:paraId="63DDAF10">
            <w:pPr>
              <w:jc w:val="center"/>
              <w:rPr>
                <w:b/>
                <w:bCs/>
                <w:sz w:val="24"/>
                <w:vertAlign w:val="baseline"/>
              </w:rPr>
            </w:pPr>
            <w:r>
              <w:rPr>
                <w:rFonts w:hint="eastAsia"/>
                <w:b/>
                <w:bCs/>
                <w:kern w:val="0"/>
                <w:sz w:val="24"/>
                <w:lang w:val="en-US" w:eastAsia="zh-CN"/>
              </w:rPr>
              <w:t>采购项目</w:t>
            </w:r>
          </w:p>
        </w:tc>
        <w:tc>
          <w:tcPr>
            <w:tcW w:w="1335" w:type="dxa"/>
            <w:vAlign w:val="center"/>
          </w:tcPr>
          <w:p w14:paraId="34A9DC46">
            <w:pPr>
              <w:widowControl/>
              <w:jc w:val="center"/>
              <w:rPr>
                <w:b/>
                <w:bCs/>
                <w:sz w:val="24"/>
                <w:vertAlign w:val="baseline"/>
              </w:rPr>
            </w:pPr>
            <w:r>
              <w:rPr>
                <w:rFonts w:hint="eastAsia"/>
                <w:b/>
                <w:bCs/>
                <w:kern w:val="0"/>
                <w:sz w:val="24"/>
                <w:lang w:val="en-US" w:eastAsia="zh-CN"/>
              </w:rPr>
              <w:t>系统等级</w:t>
            </w:r>
          </w:p>
        </w:tc>
        <w:tc>
          <w:tcPr>
            <w:tcW w:w="1410" w:type="dxa"/>
            <w:vAlign w:val="center"/>
          </w:tcPr>
          <w:p w14:paraId="6C6B1915">
            <w:pPr>
              <w:widowControl/>
              <w:jc w:val="center"/>
              <w:rPr>
                <w:b/>
                <w:bCs/>
                <w:sz w:val="24"/>
                <w:highlight w:val="none"/>
                <w:vertAlign w:val="baseline"/>
              </w:rPr>
            </w:pPr>
            <w:r>
              <w:rPr>
                <w:rFonts w:hint="eastAsia"/>
                <w:b/>
                <w:bCs/>
                <w:kern w:val="0"/>
                <w:sz w:val="24"/>
                <w:highlight w:val="none"/>
                <w:lang w:val="en-US" w:eastAsia="zh-CN"/>
              </w:rPr>
              <w:t>数量（套）</w:t>
            </w:r>
          </w:p>
        </w:tc>
        <w:tc>
          <w:tcPr>
            <w:tcW w:w="1965" w:type="dxa"/>
            <w:vAlign w:val="center"/>
          </w:tcPr>
          <w:p w14:paraId="21323327">
            <w:pPr>
              <w:widowControl/>
              <w:jc w:val="center"/>
              <w:rPr>
                <w:b/>
                <w:bCs/>
                <w:sz w:val="24"/>
                <w:vertAlign w:val="baseline"/>
              </w:rPr>
            </w:pPr>
            <w:r>
              <w:rPr>
                <w:rFonts w:hint="eastAsia"/>
                <w:b/>
                <w:bCs/>
                <w:kern w:val="0"/>
                <w:sz w:val="24"/>
                <w:lang w:val="en-US" w:eastAsia="zh-CN"/>
              </w:rPr>
              <w:t>预算金额（万元）</w:t>
            </w:r>
          </w:p>
        </w:tc>
      </w:tr>
      <w:tr w14:paraId="62763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10" w:type="dxa"/>
            <w:vAlign w:val="center"/>
          </w:tcPr>
          <w:p w14:paraId="5B5311E1">
            <w:pPr>
              <w:jc w:val="center"/>
              <w:rPr>
                <w:rFonts w:hint="eastAsia" w:eastAsia="宋体"/>
                <w:sz w:val="24"/>
                <w:vertAlign w:val="baseline"/>
                <w:lang w:val="en-US" w:eastAsia="zh-CN"/>
              </w:rPr>
            </w:pPr>
            <w:r>
              <w:rPr>
                <w:rFonts w:hint="eastAsia"/>
                <w:sz w:val="24"/>
                <w:vertAlign w:val="baseline"/>
                <w:lang w:val="en-US" w:eastAsia="zh-CN"/>
              </w:rPr>
              <w:t>1</w:t>
            </w:r>
          </w:p>
        </w:tc>
        <w:tc>
          <w:tcPr>
            <w:tcW w:w="1380" w:type="dxa"/>
            <w:vAlign w:val="center"/>
          </w:tcPr>
          <w:p w14:paraId="586E3636">
            <w:pPr>
              <w:widowControl/>
              <w:jc w:val="center"/>
              <w:rPr>
                <w:sz w:val="24"/>
                <w:vertAlign w:val="baseline"/>
              </w:rPr>
            </w:pPr>
            <w:r>
              <w:rPr>
                <w:rFonts w:hint="eastAsia"/>
                <w:kern w:val="0"/>
                <w:sz w:val="24"/>
                <w:lang w:val="en-US" w:eastAsia="zh-CN"/>
              </w:rPr>
              <w:t>校务管理</w:t>
            </w:r>
          </w:p>
        </w:tc>
        <w:tc>
          <w:tcPr>
            <w:tcW w:w="1365" w:type="dxa"/>
            <w:vAlign w:val="center"/>
          </w:tcPr>
          <w:p w14:paraId="192FEBE1">
            <w:pPr>
              <w:widowControl/>
              <w:jc w:val="center"/>
              <w:rPr>
                <w:sz w:val="24"/>
                <w:vertAlign w:val="baseline"/>
              </w:rPr>
            </w:pPr>
            <w:r>
              <w:rPr>
                <w:rFonts w:hint="eastAsia"/>
                <w:kern w:val="0"/>
                <w:sz w:val="24"/>
                <w:lang w:val="en-US" w:eastAsia="zh-CN"/>
              </w:rPr>
              <w:t>等保测评</w:t>
            </w:r>
          </w:p>
        </w:tc>
        <w:tc>
          <w:tcPr>
            <w:tcW w:w="1335" w:type="dxa"/>
            <w:vAlign w:val="center"/>
          </w:tcPr>
          <w:p w14:paraId="46B1548A">
            <w:pPr>
              <w:widowControl/>
              <w:jc w:val="center"/>
              <w:rPr>
                <w:sz w:val="24"/>
                <w:vertAlign w:val="baseline"/>
              </w:rPr>
            </w:pPr>
            <w:r>
              <w:rPr>
                <w:rFonts w:hint="eastAsia"/>
                <w:kern w:val="0"/>
                <w:sz w:val="24"/>
              </w:rPr>
              <w:t>二级</w:t>
            </w:r>
          </w:p>
        </w:tc>
        <w:tc>
          <w:tcPr>
            <w:tcW w:w="1410" w:type="dxa"/>
            <w:vAlign w:val="center"/>
          </w:tcPr>
          <w:p w14:paraId="47339C33">
            <w:pPr>
              <w:widowControl/>
              <w:jc w:val="center"/>
              <w:rPr>
                <w:sz w:val="24"/>
                <w:highlight w:val="none"/>
                <w:vertAlign w:val="baseline"/>
              </w:rPr>
            </w:pPr>
            <w:r>
              <w:rPr>
                <w:rFonts w:hint="eastAsia"/>
                <w:kern w:val="0"/>
                <w:sz w:val="24"/>
                <w:highlight w:val="none"/>
                <w:lang w:val="en-US" w:eastAsia="zh-CN"/>
              </w:rPr>
              <w:t>1</w:t>
            </w:r>
          </w:p>
        </w:tc>
        <w:tc>
          <w:tcPr>
            <w:tcW w:w="1965" w:type="dxa"/>
            <w:vMerge w:val="restart"/>
            <w:vAlign w:val="center"/>
          </w:tcPr>
          <w:p w14:paraId="0424E44A">
            <w:pPr>
              <w:widowControl/>
              <w:jc w:val="center"/>
              <w:rPr>
                <w:rFonts w:hint="default"/>
                <w:sz w:val="24"/>
                <w:vertAlign w:val="baseline"/>
                <w:lang w:val="en-US"/>
              </w:rPr>
            </w:pPr>
            <w:r>
              <w:rPr>
                <w:rFonts w:hint="eastAsia"/>
                <w:kern w:val="0"/>
                <w:sz w:val="24"/>
                <w:lang w:val="en-US" w:eastAsia="zh-CN"/>
              </w:rPr>
              <w:t>9.8</w:t>
            </w:r>
          </w:p>
        </w:tc>
      </w:tr>
      <w:tr w14:paraId="3217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10" w:type="dxa"/>
            <w:vAlign w:val="center"/>
          </w:tcPr>
          <w:p w14:paraId="5230783F">
            <w:pPr>
              <w:jc w:val="center"/>
              <w:rPr>
                <w:rFonts w:hint="eastAsia" w:eastAsia="宋体"/>
                <w:sz w:val="24"/>
                <w:vertAlign w:val="baseline"/>
                <w:lang w:val="en-US" w:eastAsia="zh-CN"/>
              </w:rPr>
            </w:pPr>
            <w:r>
              <w:rPr>
                <w:rFonts w:hint="eastAsia"/>
                <w:sz w:val="24"/>
                <w:vertAlign w:val="baseline"/>
                <w:lang w:val="en-US" w:eastAsia="zh-CN"/>
              </w:rPr>
              <w:t>2</w:t>
            </w:r>
          </w:p>
        </w:tc>
        <w:tc>
          <w:tcPr>
            <w:tcW w:w="1380" w:type="dxa"/>
            <w:vAlign w:val="center"/>
          </w:tcPr>
          <w:p w14:paraId="68BD0FC3">
            <w:pPr>
              <w:widowControl/>
              <w:jc w:val="center"/>
              <w:rPr>
                <w:sz w:val="24"/>
                <w:vertAlign w:val="baseline"/>
              </w:rPr>
            </w:pPr>
            <w:r>
              <w:rPr>
                <w:rFonts w:hint="eastAsia"/>
                <w:kern w:val="0"/>
                <w:sz w:val="24"/>
                <w:lang w:val="en-US" w:eastAsia="zh-CN"/>
              </w:rPr>
              <w:t>招生就业</w:t>
            </w:r>
          </w:p>
        </w:tc>
        <w:tc>
          <w:tcPr>
            <w:tcW w:w="1365" w:type="dxa"/>
            <w:vAlign w:val="center"/>
          </w:tcPr>
          <w:p w14:paraId="581EB4DC">
            <w:pPr>
              <w:widowControl/>
              <w:jc w:val="center"/>
              <w:rPr>
                <w:sz w:val="24"/>
                <w:vertAlign w:val="baseline"/>
              </w:rPr>
            </w:pPr>
            <w:r>
              <w:rPr>
                <w:rFonts w:hint="eastAsia"/>
                <w:kern w:val="0"/>
                <w:sz w:val="24"/>
                <w:lang w:val="en-US" w:eastAsia="zh-CN"/>
              </w:rPr>
              <w:t>等保测评</w:t>
            </w:r>
          </w:p>
        </w:tc>
        <w:tc>
          <w:tcPr>
            <w:tcW w:w="1335" w:type="dxa"/>
            <w:vAlign w:val="center"/>
          </w:tcPr>
          <w:p w14:paraId="67DC1C47">
            <w:pPr>
              <w:widowControl/>
              <w:jc w:val="center"/>
              <w:rPr>
                <w:sz w:val="24"/>
                <w:vertAlign w:val="baseline"/>
              </w:rPr>
            </w:pPr>
            <w:r>
              <w:rPr>
                <w:rFonts w:hint="eastAsia"/>
                <w:kern w:val="0"/>
                <w:sz w:val="24"/>
              </w:rPr>
              <w:t>二级</w:t>
            </w:r>
          </w:p>
        </w:tc>
        <w:tc>
          <w:tcPr>
            <w:tcW w:w="1410" w:type="dxa"/>
            <w:vAlign w:val="center"/>
          </w:tcPr>
          <w:p w14:paraId="18898645">
            <w:pPr>
              <w:widowControl/>
              <w:jc w:val="center"/>
              <w:rPr>
                <w:sz w:val="24"/>
                <w:highlight w:val="none"/>
                <w:vertAlign w:val="baseline"/>
              </w:rPr>
            </w:pPr>
            <w:r>
              <w:rPr>
                <w:rFonts w:hint="eastAsia"/>
                <w:kern w:val="0"/>
                <w:sz w:val="24"/>
                <w:highlight w:val="none"/>
                <w:lang w:val="en-US" w:eastAsia="zh-CN"/>
              </w:rPr>
              <w:t>1</w:t>
            </w:r>
          </w:p>
        </w:tc>
        <w:tc>
          <w:tcPr>
            <w:tcW w:w="1965" w:type="dxa"/>
            <w:vMerge w:val="continue"/>
            <w:vAlign w:val="center"/>
          </w:tcPr>
          <w:p w14:paraId="17231247">
            <w:pPr>
              <w:widowControl/>
              <w:jc w:val="center"/>
              <w:rPr>
                <w:sz w:val="24"/>
                <w:vertAlign w:val="baseline"/>
              </w:rPr>
            </w:pPr>
          </w:p>
        </w:tc>
      </w:tr>
      <w:tr w14:paraId="6F97A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10" w:type="dxa"/>
            <w:vAlign w:val="center"/>
          </w:tcPr>
          <w:p w14:paraId="12B1941C">
            <w:pPr>
              <w:jc w:val="center"/>
              <w:rPr>
                <w:rFonts w:hint="default"/>
                <w:sz w:val="24"/>
                <w:vertAlign w:val="baseline"/>
                <w:lang w:val="en-US" w:eastAsia="zh-CN"/>
              </w:rPr>
            </w:pPr>
            <w:r>
              <w:rPr>
                <w:rFonts w:hint="eastAsia"/>
                <w:sz w:val="24"/>
                <w:vertAlign w:val="baseline"/>
                <w:lang w:val="en-US" w:eastAsia="zh-CN"/>
              </w:rPr>
              <w:t>3</w:t>
            </w:r>
          </w:p>
        </w:tc>
        <w:tc>
          <w:tcPr>
            <w:tcW w:w="1380" w:type="dxa"/>
            <w:vAlign w:val="center"/>
          </w:tcPr>
          <w:p w14:paraId="2640224E">
            <w:pPr>
              <w:widowControl/>
              <w:jc w:val="center"/>
              <w:rPr>
                <w:rFonts w:hint="eastAsia"/>
                <w:kern w:val="0"/>
                <w:sz w:val="24"/>
                <w:lang w:val="en-US" w:eastAsia="zh-CN"/>
              </w:rPr>
            </w:pPr>
            <w:r>
              <w:rPr>
                <w:rFonts w:hint="eastAsia"/>
                <w:kern w:val="0"/>
                <w:sz w:val="24"/>
                <w:lang w:val="en-US" w:eastAsia="zh-CN"/>
              </w:rPr>
              <w:t>综合服务</w:t>
            </w:r>
          </w:p>
        </w:tc>
        <w:tc>
          <w:tcPr>
            <w:tcW w:w="1365" w:type="dxa"/>
            <w:vAlign w:val="center"/>
          </w:tcPr>
          <w:p w14:paraId="327703C9">
            <w:pPr>
              <w:widowControl/>
              <w:jc w:val="center"/>
              <w:rPr>
                <w:rFonts w:hint="eastAsia"/>
                <w:kern w:val="0"/>
                <w:sz w:val="24"/>
                <w:lang w:val="en-US" w:eastAsia="zh-CN"/>
              </w:rPr>
            </w:pPr>
            <w:r>
              <w:rPr>
                <w:rFonts w:hint="eastAsia"/>
                <w:kern w:val="0"/>
                <w:sz w:val="24"/>
                <w:lang w:val="en-US" w:eastAsia="zh-CN"/>
              </w:rPr>
              <w:t>等保测评</w:t>
            </w:r>
          </w:p>
        </w:tc>
        <w:tc>
          <w:tcPr>
            <w:tcW w:w="1335" w:type="dxa"/>
            <w:vAlign w:val="center"/>
          </w:tcPr>
          <w:p w14:paraId="0E71A85B">
            <w:pPr>
              <w:widowControl/>
              <w:jc w:val="center"/>
              <w:rPr>
                <w:rFonts w:hint="eastAsia"/>
                <w:kern w:val="0"/>
                <w:sz w:val="24"/>
              </w:rPr>
            </w:pPr>
            <w:r>
              <w:rPr>
                <w:rFonts w:hint="eastAsia"/>
                <w:kern w:val="0"/>
                <w:sz w:val="24"/>
              </w:rPr>
              <w:t>二级</w:t>
            </w:r>
          </w:p>
        </w:tc>
        <w:tc>
          <w:tcPr>
            <w:tcW w:w="1410" w:type="dxa"/>
            <w:vAlign w:val="center"/>
          </w:tcPr>
          <w:p w14:paraId="6FE48D7E">
            <w:pPr>
              <w:widowControl/>
              <w:jc w:val="center"/>
              <w:rPr>
                <w:rFonts w:hint="eastAsia"/>
                <w:kern w:val="0"/>
                <w:sz w:val="24"/>
                <w:highlight w:val="none"/>
                <w:lang w:val="en-US" w:eastAsia="zh-CN"/>
              </w:rPr>
            </w:pPr>
            <w:r>
              <w:rPr>
                <w:rFonts w:hint="eastAsia"/>
                <w:kern w:val="0"/>
                <w:sz w:val="24"/>
                <w:highlight w:val="none"/>
                <w:lang w:val="en-US" w:eastAsia="zh-CN"/>
              </w:rPr>
              <w:t>1</w:t>
            </w:r>
          </w:p>
        </w:tc>
        <w:tc>
          <w:tcPr>
            <w:tcW w:w="1965" w:type="dxa"/>
            <w:vMerge w:val="continue"/>
            <w:vAlign w:val="center"/>
          </w:tcPr>
          <w:p w14:paraId="259D56F3">
            <w:pPr>
              <w:widowControl/>
              <w:jc w:val="center"/>
              <w:rPr>
                <w:sz w:val="24"/>
                <w:vertAlign w:val="baseline"/>
              </w:rPr>
            </w:pPr>
          </w:p>
        </w:tc>
      </w:tr>
    </w:tbl>
    <w:p w14:paraId="6D14B7A2">
      <w:pPr>
        <w:rPr>
          <w:sz w:val="24"/>
        </w:rPr>
      </w:pPr>
    </w:p>
    <w:p w14:paraId="7EC6B232">
      <w:pPr>
        <w:keepNext w:val="0"/>
        <w:keepLines w:val="0"/>
        <w:pageBreakBefore w:val="0"/>
        <w:widowControl w:val="0"/>
        <w:kinsoku/>
        <w:wordWrap/>
        <w:overflowPunct/>
        <w:topLinePunct w:val="0"/>
        <w:autoSpaceDE/>
        <w:autoSpaceDN/>
        <w:bidi w:val="0"/>
        <w:adjustRightInd/>
        <w:snapToGrid/>
        <w:spacing w:before="180" w:after="180"/>
        <w:ind w:firstLine="482" w:firstLineChars="200"/>
        <w:textAlignment w:val="auto"/>
        <w:rPr>
          <w:rFonts w:hint="eastAsia"/>
          <w:b/>
          <w:sz w:val="24"/>
          <w:lang w:val="en-US" w:eastAsia="zh-CN"/>
        </w:rPr>
      </w:pPr>
      <w:r>
        <w:rPr>
          <w:rFonts w:hint="eastAsia"/>
          <w:b/>
          <w:sz w:val="24"/>
          <w:lang w:val="en-US" w:eastAsia="zh-CN"/>
        </w:rPr>
        <w:t>1.服务要求与依据标准：</w:t>
      </w:r>
    </w:p>
    <w:p w14:paraId="49488130">
      <w:pPr>
        <w:ind w:firstLine="480" w:firstLineChars="200"/>
        <w:rPr>
          <w:sz w:val="24"/>
        </w:rPr>
      </w:pPr>
      <w:r>
        <w:rPr>
          <w:sz w:val="24"/>
        </w:rPr>
        <w:t>供应商应依据国家等级保护相关标准开展工作，依据标准（包括但不限于）如下国家标准：</w:t>
      </w:r>
    </w:p>
    <w:p w14:paraId="2C19E4E0">
      <w:pPr>
        <w:ind w:firstLine="480" w:firstLineChars="200"/>
        <w:rPr>
          <w:sz w:val="24"/>
        </w:rPr>
      </w:pPr>
      <w:r>
        <w:rPr>
          <w:sz w:val="24"/>
        </w:rPr>
        <w:t>GB/T 22239-2019 信息安全技术网络安全等级保护基本要求</w:t>
      </w:r>
    </w:p>
    <w:p w14:paraId="65439BF7">
      <w:pPr>
        <w:ind w:firstLine="480" w:firstLineChars="200"/>
        <w:rPr>
          <w:sz w:val="24"/>
        </w:rPr>
      </w:pPr>
      <w:r>
        <w:rPr>
          <w:sz w:val="24"/>
        </w:rPr>
        <w:t>GB/T 28448-2019 信息安全技术网络安全等级保护测评要求</w:t>
      </w:r>
    </w:p>
    <w:p w14:paraId="4926C20A">
      <w:pPr>
        <w:keepNext w:val="0"/>
        <w:keepLines w:val="0"/>
        <w:pageBreakBefore w:val="0"/>
        <w:widowControl w:val="0"/>
        <w:kinsoku/>
        <w:wordWrap/>
        <w:overflowPunct/>
        <w:topLinePunct w:val="0"/>
        <w:autoSpaceDE/>
        <w:autoSpaceDN/>
        <w:bidi w:val="0"/>
        <w:adjustRightInd/>
        <w:snapToGrid/>
        <w:spacing w:before="180" w:after="180"/>
        <w:ind w:firstLine="482" w:firstLineChars="200"/>
        <w:textAlignment w:val="auto"/>
        <w:rPr>
          <w:rFonts w:hint="eastAsia"/>
          <w:b/>
          <w:sz w:val="24"/>
          <w:lang w:val="en-US" w:eastAsia="zh-CN"/>
        </w:rPr>
      </w:pPr>
      <w:r>
        <w:rPr>
          <w:rFonts w:hint="eastAsia"/>
          <w:b/>
          <w:sz w:val="24"/>
          <w:lang w:val="en-US" w:eastAsia="zh-CN"/>
        </w:rPr>
        <w:t>2.测评内容：</w:t>
      </w:r>
    </w:p>
    <w:p w14:paraId="175E1211">
      <w:pPr>
        <w:ind w:firstLine="480" w:firstLineChars="200"/>
        <w:rPr>
          <w:sz w:val="24"/>
        </w:rPr>
      </w:pPr>
      <w:r>
        <w:rPr>
          <w:sz w:val="24"/>
        </w:rPr>
        <w:t>根据国家等级保护相关标准，供应商对信息系统完成测评。信息系统安全等级保护测评的内容（包括但不限于）以下内容：</w:t>
      </w:r>
    </w:p>
    <w:p w14:paraId="0BE2DB1C">
      <w:pPr>
        <w:ind w:firstLine="480" w:firstLineChars="200"/>
        <w:rPr>
          <w:sz w:val="24"/>
        </w:rPr>
      </w:pPr>
      <w:r>
        <w:rPr>
          <w:sz w:val="24"/>
        </w:rPr>
        <w:t>根据用户单位信息系统的保护等级，并依据《GB/T 22239-2019信息安全技术信息系统安全等级保护基本要求》的条款要求，全面分析应用系统的安全保护措施与等级保护相应级别之间的差距，进行合规性分析，为系统等级保护加固整改提供客观依据，配合委托方督促集成商根据安全改进建议进行适度加固整改，</w:t>
      </w:r>
      <w:r>
        <w:rPr>
          <w:b w:val="0"/>
          <w:bCs w:val="0"/>
          <w:sz w:val="24"/>
        </w:rPr>
        <w:t>测评的内容包括但不限于以下内容：</w:t>
      </w:r>
    </w:p>
    <w:p w14:paraId="4E3943AE">
      <w:pPr>
        <w:ind w:firstLine="480" w:firstLineChars="200"/>
        <w:rPr>
          <w:sz w:val="24"/>
        </w:rPr>
      </w:pPr>
      <w:r>
        <w:rPr>
          <w:sz w:val="24"/>
        </w:rPr>
        <w:t>安全通用要求（安全物理环境、安全通信网络、安全区域边界、安全计算环境、安全管理中心、安全管理制度、安全管理机构、安全管理人员、安全建设管理、安全运维管理）及扩展项要求。</w:t>
      </w:r>
    </w:p>
    <w:p w14:paraId="75CF24B5">
      <w:pPr>
        <w:keepNext w:val="0"/>
        <w:keepLines w:val="0"/>
        <w:pageBreakBefore w:val="0"/>
        <w:widowControl w:val="0"/>
        <w:kinsoku/>
        <w:wordWrap/>
        <w:overflowPunct/>
        <w:topLinePunct w:val="0"/>
        <w:autoSpaceDE/>
        <w:autoSpaceDN/>
        <w:bidi w:val="0"/>
        <w:adjustRightInd/>
        <w:snapToGrid/>
        <w:spacing w:before="180" w:after="180"/>
        <w:ind w:firstLine="482" w:firstLineChars="200"/>
        <w:textAlignment w:val="auto"/>
        <w:rPr>
          <w:rFonts w:hint="eastAsia"/>
          <w:b/>
          <w:sz w:val="24"/>
          <w:lang w:val="en-US" w:eastAsia="zh-CN"/>
        </w:rPr>
      </w:pPr>
      <w:r>
        <w:rPr>
          <w:rFonts w:hint="eastAsia"/>
          <w:b/>
          <w:sz w:val="24"/>
          <w:lang w:val="en-US" w:eastAsia="zh-CN"/>
        </w:rPr>
        <w:t>3.技术服务：</w:t>
      </w:r>
    </w:p>
    <w:p w14:paraId="1E1EB996">
      <w:pPr>
        <w:keepNext w:val="0"/>
        <w:keepLines w:val="0"/>
        <w:pageBreakBefore w:val="0"/>
        <w:widowControl w:val="0"/>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（1）测评应满足的原则</w:t>
      </w:r>
    </w:p>
    <w:p w14:paraId="61EC23B4">
      <w:pPr>
        <w:keepNext w:val="0"/>
        <w:keepLines w:val="0"/>
        <w:pageBreakBefore w:val="0"/>
        <w:widowControl w:val="0"/>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本次安全保护等级保护测评实施方案设计与具体实施应满足以下原则：</w:t>
      </w:r>
    </w:p>
    <w:p w14:paraId="203797DA">
      <w:pPr>
        <w:pStyle w:val="30"/>
        <w:keepNext w:val="0"/>
        <w:keepLines w:val="0"/>
        <w:pageBreakBefore w:val="0"/>
        <w:widowControl w:val="0"/>
        <w:numPr>
          <w:ilvl w:val="0"/>
          <w:numId w:val="1"/>
        </w:numPr>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保密原则：对测评的过程数据和结果数据严格保密，未经授权不得泄露给任何单位和个人，不得利用此数据进行任何侵害</w:t>
      </w:r>
      <w:r>
        <w:rPr>
          <w:rFonts w:hint="eastAsia" w:eastAsiaTheme="minorEastAsia"/>
          <w:iCs/>
          <w:sz w:val="24"/>
          <w:lang w:eastAsia="zh-CN"/>
        </w:rPr>
        <w:t>采购单位</w:t>
      </w:r>
      <w:r>
        <w:rPr>
          <w:rFonts w:eastAsiaTheme="minorEastAsia"/>
          <w:iCs/>
          <w:sz w:val="24"/>
        </w:rPr>
        <w:t>的行为，否则</w:t>
      </w:r>
      <w:r>
        <w:rPr>
          <w:rFonts w:hint="eastAsia" w:eastAsiaTheme="minorEastAsia"/>
          <w:iCs/>
          <w:sz w:val="24"/>
          <w:lang w:eastAsia="zh-CN"/>
        </w:rPr>
        <w:t>采购单位</w:t>
      </w:r>
      <w:r>
        <w:rPr>
          <w:rFonts w:eastAsiaTheme="minorEastAsia"/>
          <w:iCs/>
          <w:sz w:val="24"/>
        </w:rPr>
        <w:t>有权追究投标供应商的责任。</w:t>
      </w:r>
    </w:p>
    <w:p w14:paraId="73CAD6ED">
      <w:pPr>
        <w:pStyle w:val="30"/>
        <w:keepNext w:val="0"/>
        <w:keepLines w:val="0"/>
        <w:pageBreakBefore w:val="0"/>
        <w:widowControl w:val="0"/>
        <w:numPr>
          <w:ilvl w:val="0"/>
          <w:numId w:val="1"/>
        </w:numPr>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标准性原则：测评方案的设计与实施应依据国家等级保护的相关标准进行。</w:t>
      </w:r>
    </w:p>
    <w:p w14:paraId="7DB97404">
      <w:pPr>
        <w:pStyle w:val="30"/>
        <w:keepNext w:val="0"/>
        <w:keepLines w:val="0"/>
        <w:pageBreakBefore w:val="0"/>
        <w:widowControl w:val="0"/>
        <w:numPr>
          <w:ilvl w:val="0"/>
          <w:numId w:val="1"/>
        </w:numPr>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规范性原则：投标供应商的工作中的过程和文档，具有很好的规范性，可以便于项目的跟踪和控制。</w:t>
      </w:r>
    </w:p>
    <w:p w14:paraId="334D3316">
      <w:pPr>
        <w:pStyle w:val="30"/>
        <w:keepNext w:val="0"/>
        <w:keepLines w:val="0"/>
        <w:pageBreakBefore w:val="0"/>
        <w:widowControl w:val="0"/>
        <w:numPr>
          <w:ilvl w:val="0"/>
          <w:numId w:val="1"/>
        </w:numPr>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可控性原则：测评服务的进度要跟上进度表的安排，保证</w:t>
      </w:r>
      <w:r>
        <w:rPr>
          <w:rFonts w:hint="eastAsia" w:eastAsiaTheme="minorEastAsia"/>
          <w:iCs/>
          <w:sz w:val="24"/>
          <w:lang w:eastAsia="zh-CN"/>
        </w:rPr>
        <w:t>采购单位</w:t>
      </w:r>
      <w:r>
        <w:rPr>
          <w:rFonts w:eastAsiaTheme="minorEastAsia"/>
          <w:iCs/>
          <w:sz w:val="24"/>
        </w:rPr>
        <w:t>对于测评工作的可控性。</w:t>
      </w:r>
    </w:p>
    <w:p w14:paraId="65025878">
      <w:pPr>
        <w:pStyle w:val="30"/>
        <w:keepNext w:val="0"/>
        <w:keepLines w:val="0"/>
        <w:pageBreakBefore w:val="0"/>
        <w:widowControl w:val="0"/>
        <w:numPr>
          <w:ilvl w:val="0"/>
          <w:numId w:val="1"/>
        </w:numPr>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整体性原则：测评的范围和内容应当整体全面，包括国家等级保护相关要求涉及的各个层面。</w:t>
      </w:r>
    </w:p>
    <w:p w14:paraId="3081008F">
      <w:pPr>
        <w:pStyle w:val="30"/>
        <w:keepNext w:val="0"/>
        <w:keepLines w:val="0"/>
        <w:pageBreakBefore w:val="0"/>
        <w:widowControl w:val="0"/>
        <w:numPr>
          <w:ilvl w:val="0"/>
          <w:numId w:val="1"/>
        </w:numPr>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最小影响原则：测评工作应尽可能小的影响系统和网络，并在可控范围内；测评工作不能对现有信息系统的正常运行、业务的正常开展产生任何影响。</w:t>
      </w:r>
    </w:p>
    <w:p w14:paraId="3BFECDA6">
      <w:pPr>
        <w:keepNext w:val="0"/>
        <w:keepLines w:val="0"/>
        <w:pageBreakBefore w:val="0"/>
        <w:widowControl w:val="0"/>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（2）安全测评报告</w:t>
      </w:r>
    </w:p>
    <w:p w14:paraId="26961D19">
      <w:pPr>
        <w:pStyle w:val="30"/>
        <w:keepNext w:val="0"/>
        <w:keepLines w:val="0"/>
        <w:pageBreakBefore w:val="0"/>
        <w:widowControl w:val="0"/>
        <w:numPr>
          <w:ilvl w:val="0"/>
          <w:numId w:val="2"/>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投标供应商应对</w:t>
      </w:r>
      <w:r>
        <w:rPr>
          <w:rFonts w:hint="eastAsia" w:eastAsiaTheme="minorEastAsia"/>
          <w:sz w:val="24"/>
          <w:lang w:eastAsia="zh-CN"/>
        </w:rPr>
        <w:t>采购单位</w:t>
      </w:r>
      <w:r>
        <w:rPr>
          <w:rFonts w:eastAsiaTheme="minorEastAsia"/>
          <w:sz w:val="24"/>
        </w:rPr>
        <w:t>的信息系统进行等级保护测评，形成相应的报告。</w:t>
      </w:r>
    </w:p>
    <w:p w14:paraId="743CDF08">
      <w:pPr>
        <w:pStyle w:val="30"/>
        <w:keepNext w:val="0"/>
        <w:keepLines w:val="0"/>
        <w:pageBreakBefore w:val="0"/>
        <w:widowControl w:val="0"/>
        <w:numPr>
          <w:ilvl w:val="0"/>
          <w:numId w:val="2"/>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投标供应商在测评后出具符合公安厅要求的系统安全保护等级测评报告；</w:t>
      </w:r>
    </w:p>
    <w:p w14:paraId="2D98387F">
      <w:pPr>
        <w:pStyle w:val="30"/>
        <w:keepNext w:val="0"/>
        <w:keepLines w:val="0"/>
        <w:pageBreakBefore w:val="0"/>
        <w:widowControl w:val="0"/>
        <w:numPr>
          <w:ilvl w:val="0"/>
          <w:numId w:val="2"/>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对上述系统不符合信息安全等级保护有关管理规范和技术标准的，投标供应商出具可行整改方案并协助</w:t>
      </w:r>
      <w:r>
        <w:rPr>
          <w:rFonts w:hint="eastAsia" w:eastAsiaTheme="minorEastAsia"/>
          <w:sz w:val="24"/>
          <w:lang w:eastAsia="zh-CN"/>
        </w:rPr>
        <w:t>采购单位</w:t>
      </w:r>
      <w:r>
        <w:rPr>
          <w:rFonts w:eastAsiaTheme="minorEastAsia"/>
          <w:sz w:val="24"/>
        </w:rPr>
        <w:t>整改服务。</w:t>
      </w:r>
    </w:p>
    <w:p w14:paraId="1A469231">
      <w:pPr>
        <w:pStyle w:val="30"/>
        <w:keepNext w:val="0"/>
        <w:keepLines w:val="0"/>
        <w:pageBreakBefore w:val="0"/>
        <w:widowControl w:val="0"/>
        <w:numPr>
          <w:ilvl w:val="0"/>
          <w:numId w:val="2"/>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投标供应商协助</w:t>
      </w:r>
      <w:r>
        <w:rPr>
          <w:rFonts w:hint="eastAsia" w:eastAsiaTheme="minorEastAsia"/>
          <w:sz w:val="24"/>
          <w:lang w:eastAsia="zh-CN"/>
        </w:rPr>
        <w:t>采购单位</w:t>
      </w:r>
      <w:r>
        <w:rPr>
          <w:rFonts w:eastAsiaTheme="minorEastAsia"/>
          <w:sz w:val="24"/>
        </w:rPr>
        <w:t>办理信息系统安全保护等级测评备案手续。</w:t>
      </w:r>
    </w:p>
    <w:p w14:paraId="486D2507">
      <w:pPr>
        <w:keepNext w:val="0"/>
        <w:keepLines w:val="0"/>
        <w:pageBreakBefore w:val="0"/>
        <w:widowControl w:val="0"/>
        <w:kinsoku/>
        <w:wordWrap/>
        <w:overflowPunct/>
        <w:topLinePunct w:val="0"/>
        <w:autoSpaceDE/>
        <w:autoSpaceDN/>
        <w:bidi w:val="0"/>
        <w:adjustRightInd/>
        <w:snapToGrid/>
        <w:ind w:firstLine="480" w:firstLineChars="200"/>
        <w:textAlignment w:val="auto"/>
        <w:rPr>
          <w:rFonts w:eastAsiaTheme="minorEastAsia"/>
          <w:iCs/>
          <w:sz w:val="24"/>
        </w:rPr>
      </w:pPr>
      <w:r>
        <w:rPr>
          <w:rFonts w:eastAsiaTheme="minorEastAsia"/>
          <w:iCs/>
          <w:sz w:val="24"/>
        </w:rPr>
        <w:t>（3）本次等级保护测评的整体要求</w:t>
      </w:r>
    </w:p>
    <w:p w14:paraId="011130A6">
      <w:pPr>
        <w:pStyle w:val="30"/>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投标供应商应详细描述本次等级保护测评的整体实施方案，包括项目概述、等保测评方案、项目实施方案、测试过程中需使用测试设备清单、时间安排、阶段性文档提交和验收标准等。</w:t>
      </w:r>
    </w:p>
    <w:p w14:paraId="055C89DF">
      <w:pPr>
        <w:pStyle w:val="30"/>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投标供应商应详细描述测评人员的组成、资质及各自职责的划分。投标供应商应配置有经验的测评人员进行本次等级保护测评工作。</w:t>
      </w:r>
    </w:p>
    <w:p w14:paraId="74736876">
      <w:pPr>
        <w:pStyle w:val="30"/>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本次等级保护测评实施过程中所使用到的各种工具软件由投标供应商推荐，经</w:t>
      </w:r>
      <w:r>
        <w:rPr>
          <w:rFonts w:hint="eastAsia" w:eastAsiaTheme="minorEastAsia"/>
          <w:sz w:val="24"/>
          <w:lang w:eastAsia="zh-CN"/>
        </w:rPr>
        <w:t>采购单位</w:t>
      </w:r>
      <w:r>
        <w:rPr>
          <w:rFonts w:eastAsiaTheme="minorEastAsia"/>
          <w:sz w:val="24"/>
        </w:rPr>
        <w:t>确认后由投标供应商提供并在测评中使用。</w:t>
      </w:r>
    </w:p>
    <w:p w14:paraId="3D5DD964">
      <w:pPr>
        <w:pStyle w:val="30"/>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安全测评工具软件运行可能需要的硬件平台（如笔记本电脑、PC、工作站等）和操作系统软件等由投标供应商推荐，经</w:t>
      </w:r>
      <w:r>
        <w:rPr>
          <w:rFonts w:hint="eastAsia" w:eastAsiaTheme="minorEastAsia"/>
          <w:sz w:val="24"/>
          <w:lang w:eastAsia="zh-CN"/>
        </w:rPr>
        <w:t>采购单位</w:t>
      </w:r>
      <w:r>
        <w:rPr>
          <w:rFonts w:eastAsiaTheme="minorEastAsia"/>
          <w:sz w:val="24"/>
        </w:rPr>
        <w:t>确认后由投标供应商提供并在测评中使用。</w:t>
      </w:r>
    </w:p>
    <w:p w14:paraId="36796E85">
      <w:pPr>
        <w:pStyle w:val="30"/>
        <w:keepNext w:val="0"/>
        <w:keepLines w:val="0"/>
        <w:pageBreakBefore w:val="0"/>
        <w:widowControl w:val="0"/>
        <w:numPr>
          <w:ilvl w:val="0"/>
          <w:numId w:val="3"/>
        </w:numPr>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安全测评需要的运行环境（如场地、网络环境等）由</w:t>
      </w:r>
      <w:r>
        <w:rPr>
          <w:rFonts w:hint="eastAsia" w:eastAsiaTheme="minorEastAsia"/>
          <w:sz w:val="24"/>
          <w:lang w:eastAsia="zh-CN"/>
        </w:rPr>
        <w:t>采购单位</w:t>
      </w:r>
      <w:r>
        <w:rPr>
          <w:rFonts w:eastAsiaTheme="minorEastAsia"/>
          <w:sz w:val="24"/>
        </w:rPr>
        <w:t>提供，投标供应商应详细描述需要的运行环境的具体要求。</w:t>
      </w:r>
    </w:p>
    <w:p w14:paraId="2824AF75">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textAlignment w:val="auto"/>
        <w:rPr>
          <w:rFonts w:hint="eastAsia"/>
          <w:b/>
          <w:sz w:val="30"/>
          <w:szCs w:val="30"/>
          <w:lang w:val="en-US" w:eastAsia="zh-CN"/>
        </w:rPr>
      </w:pPr>
      <w:r>
        <w:rPr>
          <w:rFonts w:hint="eastAsia"/>
          <w:b/>
          <w:sz w:val="30"/>
          <w:szCs w:val="30"/>
          <w:lang w:val="en-US" w:eastAsia="zh-CN"/>
        </w:rPr>
        <w:t>二、</w:t>
      </w:r>
      <w:bookmarkStart w:id="0" w:name="_GoBack"/>
      <w:bookmarkEnd w:id="0"/>
      <w:r>
        <w:rPr>
          <w:rFonts w:hint="eastAsia"/>
          <w:b/>
          <w:sz w:val="30"/>
          <w:szCs w:val="30"/>
          <w:lang w:val="en-US" w:eastAsia="zh-CN"/>
        </w:rPr>
        <w:t>项目实施要求</w:t>
      </w:r>
    </w:p>
    <w:p w14:paraId="5C5954FD">
      <w:pPr>
        <w:keepNext w:val="0"/>
        <w:keepLines w:val="0"/>
        <w:pageBreakBefore w:val="0"/>
        <w:widowControl w:val="0"/>
        <w:kinsoku/>
        <w:wordWrap/>
        <w:overflowPunct/>
        <w:topLinePunct w:val="0"/>
        <w:autoSpaceDE/>
        <w:autoSpaceDN/>
        <w:bidi w:val="0"/>
        <w:adjustRightInd/>
        <w:snapToGrid/>
        <w:spacing w:before="180" w:after="180"/>
        <w:ind w:firstLine="482" w:firstLineChars="200"/>
        <w:textAlignment w:val="auto"/>
        <w:rPr>
          <w:rFonts w:hint="eastAsia"/>
          <w:b/>
          <w:sz w:val="24"/>
          <w:lang w:val="en-US" w:eastAsia="zh-CN"/>
        </w:rPr>
      </w:pPr>
      <w:r>
        <w:rPr>
          <w:rFonts w:hint="eastAsia"/>
          <w:b/>
          <w:sz w:val="24"/>
          <w:lang w:val="en-US" w:eastAsia="zh-CN"/>
        </w:rPr>
        <w:t>1.服务期</w:t>
      </w:r>
    </w:p>
    <w:p w14:paraId="75A7385B">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rPr>
          <w:rFonts w:eastAsiaTheme="minorEastAsia"/>
          <w:color w:val="auto"/>
          <w:sz w:val="24"/>
          <w:highlight w:val="none"/>
        </w:rPr>
      </w:pPr>
      <w:r>
        <w:rPr>
          <w:rFonts w:hint="eastAsia" w:eastAsiaTheme="minorEastAsia"/>
          <w:color w:val="auto"/>
          <w:sz w:val="24"/>
          <w:highlight w:val="none"/>
          <w:lang w:val="en-US" w:eastAsia="zh-CN"/>
        </w:rPr>
        <w:t>合同签订之日</w:t>
      </w:r>
      <w:r>
        <w:rPr>
          <w:rFonts w:eastAsiaTheme="minorEastAsia"/>
          <w:color w:val="auto"/>
          <w:sz w:val="24"/>
          <w:highlight w:val="none"/>
        </w:rPr>
        <w:t>起</w:t>
      </w:r>
      <w:r>
        <w:rPr>
          <w:rFonts w:hint="eastAsia" w:eastAsiaTheme="minorEastAsia"/>
          <w:color w:val="auto"/>
          <w:sz w:val="24"/>
          <w:highlight w:val="none"/>
          <w:lang w:val="en-US" w:eastAsia="zh-CN"/>
        </w:rPr>
        <w:t>3</w:t>
      </w:r>
      <w:r>
        <w:rPr>
          <w:rFonts w:eastAsiaTheme="minorEastAsia"/>
          <w:color w:val="auto"/>
          <w:sz w:val="24"/>
          <w:highlight w:val="none"/>
        </w:rPr>
        <w:t>个月内完成</w:t>
      </w:r>
      <w:r>
        <w:rPr>
          <w:rFonts w:hint="eastAsia" w:eastAsiaTheme="minorEastAsia"/>
          <w:color w:val="auto"/>
          <w:sz w:val="24"/>
          <w:highlight w:val="none"/>
          <w:lang w:val="en-US" w:eastAsia="zh-CN"/>
        </w:rPr>
        <w:t>测评的实施</w:t>
      </w:r>
      <w:r>
        <w:rPr>
          <w:rFonts w:hint="eastAsia" w:eastAsiaTheme="minorEastAsia"/>
          <w:color w:val="auto"/>
          <w:sz w:val="24"/>
          <w:highlight w:val="none"/>
          <w:lang w:eastAsia="zh-CN"/>
        </w:rPr>
        <w:t>，</w:t>
      </w:r>
      <w:r>
        <w:rPr>
          <w:rFonts w:hint="eastAsia" w:eastAsiaTheme="minorEastAsia"/>
          <w:color w:val="auto"/>
          <w:sz w:val="24"/>
          <w:highlight w:val="none"/>
          <w:lang w:val="en-US" w:eastAsia="zh-CN"/>
        </w:rPr>
        <w:t>2025年11月15日前交付公安部备案的测评报告与整改</w:t>
      </w:r>
      <w:r>
        <w:rPr>
          <w:rFonts w:hint="eastAsia" w:ascii="宋体" w:hAnsi="宋体" w:cs="宋体"/>
          <w:bCs/>
          <w:color w:val="auto"/>
          <w:sz w:val="24"/>
          <w:highlight w:val="none"/>
        </w:rPr>
        <w:t>方案</w:t>
      </w:r>
      <w:r>
        <w:rPr>
          <w:rFonts w:eastAsiaTheme="minorEastAsia"/>
          <w:color w:val="auto"/>
          <w:sz w:val="24"/>
          <w:highlight w:val="none"/>
        </w:rPr>
        <w:t>。</w:t>
      </w:r>
    </w:p>
    <w:p w14:paraId="5F2FAA0D">
      <w:pPr>
        <w:keepNext w:val="0"/>
        <w:keepLines w:val="0"/>
        <w:pageBreakBefore w:val="0"/>
        <w:widowControl w:val="0"/>
        <w:kinsoku/>
        <w:wordWrap/>
        <w:overflowPunct/>
        <w:topLinePunct w:val="0"/>
        <w:autoSpaceDE/>
        <w:autoSpaceDN/>
        <w:bidi w:val="0"/>
        <w:adjustRightInd/>
        <w:snapToGrid/>
        <w:spacing w:before="180" w:after="180"/>
        <w:ind w:firstLine="482" w:firstLineChars="200"/>
        <w:textAlignment w:val="auto"/>
        <w:rPr>
          <w:rFonts w:hint="eastAsia"/>
          <w:b/>
          <w:sz w:val="24"/>
          <w:lang w:val="en-US" w:eastAsia="zh-CN"/>
        </w:rPr>
      </w:pPr>
      <w:r>
        <w:rPr>
          <w:rFonts w:hint="eastAsia"/>
          <w:b/>
          <w:sz w:val="24"/>
          <w:lang w:val="en-US" w:eastAsia="zh-CN"/>
        </w:rPr>
        <w:t xml:space="preserve">2.实施内容要求 </w:t>
      </w:r>
    </w:p>
    <w:p w14:paraId="73A4DF40">
      <w:pPr>
        <w:pStyle w:val="33"/>
        <w:keepNext w:val="0"/>
        <w:keepLines w:val="0"/>
        <w:pageBreakBefore w:val="0"/>
        <w:kinsoku/>
        <w:wordWrap/>
        <w:overflowPunct/>
        <w:topLinePunct w:val="0"/>
        <w:autoSpaceDE/>
        <w:autoSpaceDN/>
        <w:bidi w:val="0"/>
        <w:adjustRightInd w:val="0"/>
        <w:snapToGrid w:val="0"/>
        <w:spacing w:line="240" w:lineRule="auto"/>
        <w:ind w:firstLine="480" w:firstLineChars="200"/>
        <w:textAlignment w:val="auto"/>
        <w:rPr>
          <w:rFonts w:hint="eastAsia" w:ascii="仿宋" w:hAnsi="仿宋" w:eastAsia="仿宋" w:cs="宋体"/>
          <w:color w:val="000000"/>
          <w:sz w:val="30"/>
          <w:szCs w:val="30"/>
        </w:rPr>
      </w:pPr>
      <w:r>
        <w:rPr>
          <w:rFonts w:hint="eastAsia" w:ascii="宋体" w:hAnsi="宋体" w:cs="宋体"/>
          <w:bCs/>
          <w:sz w:val="24"/>
          <w:lang w:val="en-US" w:eastAsia="zh-CN"/>
        </w:rPr>
        <w:t>1</w:t>
      </w:r>
      <w:r>
        <w:rPr>
          <w:rFonts w:hint="eastAsia" w:ascii="宋体" w:hAnsi="宋体" w:cs="宋体"/>
          <w:bCs/>
          <w:sz w:val="24"/>
        </w:rPr>
        <w:t>）实施完成之后，提供</w:t>
      </w:r>
      <w:r>
        <w:rPr>
          <w:rFonts w:hint="eastAsia" w:ascii="宋体" w:hAnsi="宋体" w:cs="宋体"/>
          <w:bCs/>
          <w:sz w:val="24"/>
          <w:lang w:val="en-US" w:eastAsia="zh-CN"/>
        </w:rPr>
        <w:t>3个系统的</w:t>
      </w:r>
      <w:r>
        <w:rPr>
          <w:rFonts w:hint="eastAsia" w:ascii="宋体" w:hAnsi="宋体" w:cs="宋体"/>
          <w:bCs/>
          <w:sz w:val="24"/>
        </w:rPr>
        <w:t>《系统信息安全等级保护测评报告》和《系统信息安全等级保护整改方案》</w:t>
      </w:r>
      <w:r>
        <w:rPr>
          <w:rFonts w:hint="eastAsia" w:ascii="宋体" w:hAnsi="宋体" w:cs="宋体"/>
          <w:bCs/>
          <w:sz w:val="24"/>
          <w:lang w:val="en-US" w:eastAsia="zh-CN"/>
        </w:rPr>
        <w:t>等</w:t>
      </w:r>
      <w:r>
        <w:rPr>
          <w:rFonts w:hint="eastAsia" w:ascii="仿宋" w:hAnsi="仿宋" w:eastAsia="仿宋" w:cs="宋体"/>
          <w:color w:val="000000"/>
          <w:sz w:val="30"/>
          <w:szCs w:val="30"/>
        </w:rPr>
        <w:t>。</w:t>
      </w:r>
    </w:p>
    <w:p w14:paraId="40D36A3F">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bCs/>
          <w:kern w:val="0"/>
          <w:sz w:val="24"/>
          <w:szCs w:val="24"/>
          <w:lang w:val="en-US" w:eastAsia="zh-CN" w:bidi="ar-SA"/>
        </w:rPr>
      </w:pPr>
      <w:r>
        <w:rPr>
          <w:rFonts w:hint="eastAsia" w:ascii="宋体" w:hAnsi="宋体" w:cs="宋体"/>
          <w:bCs/>
          <w:sz w:val="24"/>
        </w:rPr>
        <w:t>2）为采</w:t>
      </w:r>
      <w:r>
        <w:rPr>
          <w:rFonts w:hint="eastAsia" w:ascii="宋体" w:hAnsi="宋体" w:eastAsia="宋体" w:cs="宋体"/>
          <w:bCs/>
          <w:kern w:val="0"/>
          <w:sz w:val="24"/>
          <w:szCs w:val="24"/>
          <w:lang w:val="en-US" w:eastAsia="zh-CN" w:bidi="ar-SA"/>
        </w:rPr>
        <w:t>购</w:t>
      </w:r>
      <w:r>
        <w:rPr>
          <w:rFonts w:hint="eastAsia" w:ascii="宋体" w:hAnsi="宋体" w:cs="宋体"/>
          <w:bCs/>
          <w:kern w:val="0"/>
          <w:sz w:val="24"/>
          <w:szCs w:val="24"/>
          <w:lang w:val="en-US" w:eastAsia="zh-CN" w:bidi="ar-SA"/>
        </w:rPr>
        <w:t>单位</w:t>
      </w:r>
      <w:r>
        <w:rPr>
          <w:rFonts w:hint="eastAsia" w:ascii="宋体" w:hAnsi="宋体" w:eastAsia="宋体" w:cs="宋体"/>
          <w:bCs/>
          <w:kern w:val="0"/>
          <w:sz w:val="24"/>
          <w:szCs w:val="24"/>
          <w:lang w:val="en-US" w:eastAsia="zh-CN" w:bidi="ar-SA"/>
        </w:rPr>
        <w:t>提供一次信息安全技术培训。</w:t>
      </w:r>
    </w:p>
    <w:p w14:paraId="792E8943">
      <w:pPr>
        <w:keepNext w:val="0"/>
        <w:keepLines w:val="0"/>
        <w:pageBreakBefore w:val="0"/>
        <w:kinsoku/>
        <w:wordWrap/>
        <w:overflowPunct/>
        <w:topLinePunct w:val="0"/>
        <w:autoSpaceDE/>
        <w:autoSpaceDN/>
        <w:bidi w:val="0"/>
        <w:snapToGrid w:val="0"/>
        <w:spacing w:line="240" w:lineRule="auto"/>
        <w:ind w:firstLine="480" w:firstLineChars="200"/>
        <w:textAlignment w:val="auto"/>
      </w:pPr>
      <w:r>
        <w:rPr>
          <w:rFonts w:hint="eastAsia" w:ascii="宋体" w:hAnsi="宋体" w:eastAsia="宋体" w:cs="宋体"/>
          <w:bCs/>
          <w:kern w:val="0"/>
          <w:sz w:val="24"/>
          <w:szCs w:val="24"/>
          <w:lang w:val="en-US" w:eastAsia="zh-CN" w:bidi="ar-SA"/>
        </w:rPr>
        <w:t>3）项目</w:t>
      </w:r>
      <w:r>
        <w:rPr>
          <w:rFonts w:hint="eastAsia" w:ascii="宋体" w:hAnsi="宋体" w:eastAsia="宋体" w:cs="宋体"/>
          <w:bCs/>
          <w:kern w:val="0"/>
          <w:sz w:val="24"/>
          <w:szCs w:val="24"/>
          <w:highlight w:val="none"/>
          <w:lang w:val="en-US" w:eastAsia="zh-CN" w:bidi="ar-SA"/>
        </w:rPr>
        <w:t>验收</w:t>
      </w:r>
      <w:r>
        <w:rPr>
          <w:rFonts w:hint="eastAsia" w:ascii="宋体" w:hAnsi="宋体" w:cs="宋体"/>
          <w:bCs/>
          <w:kern w:val="0"/>
          <w:sz w:val="24"/>
          <w:szCs w:val="24"/>
          <w:highlight w:val="none"/>
          <w:lang w:val="en-US" w:eastAsia="zh-CN" w:bidi="ar-SA"/>
        </w:rPr>
        <w:t>通过之日起</w:t>
      </w:r>
      <w:r>
        <w:rPr>
          <w:rFonts w:hint="eastAsia" w:ascii="宋体" w:hAnsi="宋体" w:eastAsia="宋体" w:cs="宋体"/>
          <w:bCs/>
          <w:kern w:val="0"/>
          <w:sz w:val="24"/>
          <w:szCs w:val="24"/>
          <w:highlight w:val="none"/>
          <w:lang w:val="en-US" w:eastAsia="zh-CN" w:bidi="ar-SA"/>
        </w:rPr>
        <w:t>，要求提供为期一</w:t>
      </w:r>
      <w:r>
        <w:rPr>
          <w:rFonts w:hint="eastAsia" w:ascii="宋体" w:hAnsi="宋体" w:eastAsia="宋体" w:cs="宋体"/>
          <w:bCs/>
          <w:kern w:val="2"/>
          <w:sz w:val="24"/>
          <w:szCs w:val="24"/>
          <w:highlight w:val="none"/>
          <w:lang w:val="en-US" w:eastAsia="zh-CN" w:bidi="ar-SA"/>
        </w:rPr>
        <w:t>年的安全咨询服务，</w:t>
      </w:r>
      <w:r>
        <w:rPr>
          <w:rFonts w:hint="eastAsia" w:ascii="宋体" w:hAnsi="宋体" w:eastAsia="宋体" w:cs="宋体"/>
          <w:bCs/>
          <w:kern w:val="2"/>
          <w:sz w:val="24"/>
          <w:szCs w:val="24"/>
          <w:lang w:val="en-US" w:eastAsia="zh-CN" w:bidi="ar-SA"/>
        </w:rPr>
        <w:t>以保证项目正常运行。</w:t>
      </w:r>
    </w:p>
    <w:p w14:paraId="38B0C552">
      <w:pPr>
        <w:keepNext w:val="0"/>
        <w:keepLines w:val="0"/>
        <w:pageBreakBefore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bCs/>
          <w:sz w:val="24"/>
          <w:lang w:eastAsia="zh-CN"/>
        </w:rPr>
      </w:pPr>
      <w:r>
        <w:rPr>
          <w:rFonts w:hint="eastAsia" w:ascii="宋体" w:hAnsi="宋体" w:cs="宋体"/>
          <w:bCs/>
          <w:sz w:val="24"/>
          <w:highlight w:val="none"/>
          <w:lang w:val="en-US" w:eastAsia="zh-CN"/>
        </w:rPr>
        <w:t>中标</w:t>
      </w:r>
      <w:r>
        <w:rPr>
          <w:rFonts w:hint="eastAsia" w:ascii="宋体" w:hAnsi="宋体" w:eastAsia="宋体" w:cs="宋体"/>
          <w:bCs/>
          <w:sz w:val="24"/>
          <w:highlight w:val="none"/>
        </w:rPr>
        <w:t>供应商确定测评人</w:t>
      </w:r>
      <w:r>
        <w:rPr>
          <w:rFonts w:hint="eastAsia" w:ascii="宋体" w:hAnsi="宋体" w:eastAsia="宋体" w:cs="宋体"/>
          <w:bCs/>
          <w:sz w:val="24"/>
        </w:rPr>
        <w:t>员后，需提前与采购</w:t>
      </w:r>
      <w:r>
        <w:rPr>
          <w:rFonts w:hint="eastAsia" w:ascii="宋体" w:hAnsi="宋体" w:cs="宋体"/>
          <w:bCs/>
          <w:sz w:val="24"/>
          <w:lang w:val="en-US" w:eastAsia="zh-CN"/>
        </w:rPr>
        <w:t>单位</w:t>
      </w:r>
      <w:r>
        <w:rPr>
          <w:rFonts w:hint="eastAsia" w:ascii="宋体" w:hAnsi="宋体" w:eastAsia="宋体" w:cs="宋体"/>
          <w:bCs/>
          <w:sz w:val="24"/>
        </w:rPr>
        <w:t>的系统管理员取得联系，共同商定系统测评计划和方法。</w:t>
      </w:r>
    </w:p>
    <w:p w14:paraId="0E5244AF">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textAlignment w:val="auto"/>
        <w:rPr>
          <w:rFonts w:ascii="Times New Roman" w:hAnsi="Times New Roman" w:eastAsia="宋体" w:cs="Times New Roman"/>
          <w:b/>
          <w:sz w:val="30"/>
          <w:szCs w:val="30"/>
        </w:rPr>
      </w:pPr>
      <w:r>
        <w:rPr>
          <w:rFonts w:hint="eastAsia"/>
          <w:b/>
          <w:sz w:val="30"/>
          <w:szCs w:val="30"/>
          <w:lang w:val="en-US" w:eastAsia="zh-CN"/>
        </w:rPr>
        <w:t>三</w:t>
      </w:r>
      <w:r>
        <w:rPr>
          <w:b/>
          <w:sz w:val="30"/>
          <w:szCs w:val="30"/>
        </w:rPr>
        <w:t>、</w:t>
      </w:r>
      <w:r>
        <w:rPr>
          <w:rFonts w:ascii="Times New Roman" w:hAnsi="Times New Roman" w:eastAsia="宋体" w:cs="Times New Roman"/>
          <w:b/>
          <w:sz w:val="30"/>
          <w:szCs w:val="30"/>
        </w:rPr>
        <w:t>付款方式</w:t>
      </w:r>
    </w:p>
    <w:p w14:paraId="48C6C57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sz w:val="24"/>
          <w:highlight w:val="none"/>
        </w:rPr>
      </w:pPr>
      <w:r>
        <w:rPr>
          <w:sz w:val="24"/>
          <w:highlight w:val="none"/>
        </w:rPr>
        <w:t>项目</w:t>
      </w:r>
      <w:r>
        <w:rPr>
          <w:rFonts w:hint="eastAsia"/>
          <w:sz w:val="24"/>
          <w:highlight w:val="none"/>
          <w:lang w:val="en-US" w:eastAsia="zh-CN"/>
        </w:rPr>
        <w:t>验收通过</w:t>
      </w:r>
      <w:r>
        <w:rPr>
          <w:sz w:val="24"/>
          <w:highlight w:val="none"/>
        </w:rPr>
        <w:t>后一次性支付合同总额的100%。</w:t>
      </w:r>
    </w:p>
    <w:p w14:paraId="2B74D40A">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eastAsia="宋体" w:cs="Times New Roman"/>
          <w:b/>
          <w:sz w:val="30"/>
          <w:szCs w:val="30"/>
        </w:rPr>
      </w:pPr>
      <w:r>
        <w:rPr>
          <w:rFonts w:hint="eastAsia" w:cs="Times New Roman"/>
          <w:b/>
          <w:sz w:val="30"/>
          <w:szCs w:val="30"/>
          <w:lang w:val="en-US" w:eastAsia="zh-CN"/>
        </w:rPr>
        <w:t>四</w:t>
      </w:r>
      <w:r>
        <w:rPr>
          <w:rFonts w:ascii="Times New Roman" w:hAnsi="Times New Roman" w:eastAsia="宋体" w:cs="Times New Roman"/>
          <w:b/>
          <w:sz w:val="30"/>
          <w:szCs w:val="30"/>
        </w:rPr>
        <w:t>、成交原则</w:t>
      </w:r>
    </w:p>
    <w:p w14:paraId="138B5FAD">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rPr>
      </w:pPr>
      <w:r>
        <w:rPr>
          <w:sz w:val="24"/>
        </w:rPr>
        <w:t>符合采购需求，技术规格相同，质量及售后服务相当的情况下，在不超过最高限价的金额内，确定报价总价最低者的供应商为成交方。</w:t>
      </w:r>
    </w:p>
    <w:p w14:paraId="56DCDB01">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eastAsia="宋体" w:cs="Times New Roman"/>
          <w:b/>
          <w:sz w:val="30"/>
          <w:szCs w:val="30"/>
        </w:rPr>
      </w:pPr>
      <w:r>
        <w:rPr>
          <w:rFonts w:hint="eastAsia" w:cs="Times New Roman"/>
          <w:b/>
          <w:sz w:val="30"/>
          <w:szCs w:val="30"/>
          <w:lang w:val="en-US" w:eastAsia="zh-CN"/>
        </w:rPr>
        <w:t>五</w:t>
      </w:r>
      <w:r>
        <w:rPr>
          <w:rFonts w:ascii="Times New Roman" w:hAnsi="Times New Roman" w:eastAsia="宋体" w:cs="Times New Roman"/>
          <w:b/>
          <w:sz w:val="30"/>
          <w:szCs w:val="30"/>
        </w:rPr>
        <w:t>、合同谈判与签订</w:t>
      </w:r>
    </w:p>
    <w:p w14:paraId="58B59175">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rPr>
      </w:pPr>
      <w:r>
        <w:rPr>
          <w:sz w:val="24"/>
        </w:rPr>
        <w:t>1、成交结果通知供应商后</w:t>
      </w:r>
      <w:r>
        <w:rPr>
          <w:rFonts w:hint="eastAsia"/>
          <w:sz w:val="24"/>
          <w:lang w:val="en-US" w:eastAsia="zh-CN"/>
        </w:rPr>
        <w:t>15</w:t>
      </w:r>
      <w:r>
        <w:rPr>
          <w:sz w:val="24"/>
        </w:rPr>
        <w:t>日内与采购单位签订服务合同。</w:t>
      </w:r>
    </w:p>
    <w:p w14:paraId="546B25D0">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rPr>
      </w:pPr>
      <w:r>
        <w:rPr>
          <w:sz w:val="24"/>
        </w:rPr>
        <w:t>2、成交人应在服务合同签订的服务期内向采购单位服务；</w:t>
      </w:r>
    </w:p>
    <w:p w14:paraId="3A03F19D">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rPr>
      </w:pPr>
      <w:r>
        <w:rPr>
          <w:rFonts w:hint="eastAsia"/>
          <w:sz w:val="24"/>
          <w:lang w:val="en-US" w:eastAsia="zh-CN"/>
        </w:rPr>
        <w:t>3、</w:t>
      </w:r>
      <w:r>
        <w:rPr>
          <w:sz w:val="24"/>
        </w:rPr>
        <w:t>采购单位根据成交方的报价文件、合同进行验收。</w:t>
      </w:r>
    </w:p>
    <w:p w14:paraId="35F8C74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eastAsiaTheme="minorEastAsia"/>
          <w:sz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E45E3"/>
    <w:multiLevelType w:val="multilevel"/>
    <w:tmpl w:val="06BE45E3"/>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9A83459"/>
    <w:multiLevelType w:val="multilevel"/>
    <w:tmpl w:val="39A83459"/>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2B81AEF"/>
    <w:multiLevelType w:val="multilevel"/>
    <w:tmpl w:val="52B81AEF"/>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lNmY5NDM2ZTgwMjMxNjc3OTE5ZmM5NjlmMTE2YWMifQ=="/>
    <w:docVar w:name="KSO_WPS_MARK_KEY" w:val="22fbe759-c3c3-4941-b1dd-97a4882e9a79"/>
  </w:docVars>
  <w:rsids>
    <w:rsidRoot w:val="00735554"/>
    <w:rsid w:val="00167458"/>
    <w:rsid w:val="00194C98"/>
    <w:rsid w:val="0024773D"/>
    <w:rsid w:val="00262055"/>
    <w:rsid w:val="002719B6"/>
    <w:rsid w:val="002A2691"/>
    <w:rsid w:val="0030568E"/>
    <w:rsid w:val="0035512D"/>
    <w:rsid w:val="003A5321"/>
    <w:rsid w:val="003B4199"/>
    <w:rsid w:val="003C74C1"/>
    <w:rsid w:val="0043011E"/>
    <w:rsid w:val="00435265"/>
    <w:rsid w:val="00504E3D"/>
    <w:rsid w:val="00561231"/>
    <w:rsid w:val="0056265A"/>
    <w:rsid w:val="005A6AFA"/>
    <w:rsid w:val="005B6388"/>
    <w:rsid w:val="006535A0"/>
    <w:rsid w:val="00654E0E"/>
    <w:rsid w:val="00660AE8"/>
    <w:rsid w:val="0068436D"/>
    <w:rsid w:val="006C7E0A"/>
    <w:rsid w:val="00735554"/>
    <w:rsid w:val="00740994"/>
    <w:rsid w:val="00783E1A"/>
    <w:rsid w:val="007C3968"/>
    <w:rsid w:val="007D7374"/>
    <w:rsid w:val="0081612A"/>
    <w:rsid w:val="00836279"/>
    <w:rsid w:val="0085239B"/>
    <w:rsid w:val="00867B5E"/>
    <w:rsid w:val="00870E04"/>
    <w:rsid w:val="0087339A"/>
    <w:rsid w:val="0089189B"/>
    <w:rsid w:val="00896114"/>
    <w:rsid w:val="008A7A3C"/>
    <w:rsid w:val="008A7B4E"/>
    <w:rsid w:val="008C7AF3"/>
    <w:rsid w:val="008F768A"/>
    <w:rsid w:val="0090381C"/>
    <w:rsid w:val="00944BC7"/>
    <w:rsid w:val="00951AEF"/>
    <w:rsid w:val="00990C0B"/>
    <w:rsid w:val="00995608"/>
    <w:rsid w:val="009C4F3A"/>
    <w:rsid w:val="009C6717"/>
    <w:rsid w:val="009C7A26"/>
    <w:rsid w:val="009D4461"/>
    <w:rsid w:val="009E0315"/>
    <w:rsid w:val="00A03CDA"/>
    <w:rsid w:val="00A07F86"/>
    <w:rsid w:val="00A168BD"/>
    <w:rsid w:val="00AA3CEC"/>
    <w:rsid w:val="00AD14E0"/>
    <w:rsid w:val="00B44767"/>
    <w:rsid w:val="00B705EB"/>
    <w:rsid w:val="00B743B4"/>
    <w:rsid w:val="00BE6995"/>
    <w:rsid w:val="00BF5EB5"/>
    <w:rsid w:val="00C02336"/>
    <w:rsid w:val="00C05ACD"/>
    <w:rsid w:val="00C72463"/>
    <w:rsid w:val="00C85846"/>
    <w:rsid w:val="00C8764F"/>
    <w:rsid w:val="00CC7A59"/>
    <w:rsid w:val="00CE7C3F"/>
    <w:rsid w:val="00D367BD"/>
    <w:rsid w:val="00D42166"/>
    <w:rsid w:val="00D43D71"/>
    <w:rsid w:val="00DE59DB"/>
    <w:rsid w:val="00E46313"/>
    <w:rsid w:val="00E4683B"/>
    <w:rsid w:val="00E80F00"/>
    <w:rsid w:val="00E8291D"/>
    <w:rsid w:val="00EB511C"/>
    <w:rsid w:val="00F5181E"/>
    <w:rsid w:val="00FE7E06"/>
    <w:rsid w:val="00FF45D8"/>
    <w:rsid w:val="0159387C"/>
    <w:rsid w:val="016320EC"/>
    <w:rsid w:val="022B2C0A"/>
    <w:rsid w:val="03E23973"/>
    <w:rsid w:val="0519113F"/>
    <w:rsid w:val="055A55B4"/>
    <w:rsid w:val="05AB5E10"/>
    <w:rsid w:val="06142634"/>
    <w:rsid w:val="06A42F8B"/>
    <w:rsid w:val="0A5139AF"/>
    <w:rsid w:val="0D75742F"/>
    <w:rsid w:val="0EB65F51"/>
    <w:rsid w:val="0FE73EE9"/>
    <w:rsid w:val="112C2FED"/>
    <w:rsid w:val="123C676E"/>
    <w:rsid w:val="13143247"/>
    <w:rsid w:val="13243ECD"/>
    <w:rsid w:val="1332191F"/>
    <w:rsid w:val="14A8633C"/>
    <w:rsid w:val="151A7F78"/>
    <w:rsid w:val="17CF1E32"/>
    <w:rsid w:val="191F522C"/>
    <w:rsid w:val="1B0E67CD"/>
    <w:rsid w:val="1B9E3928"/>
    <w:rsid w:val="1CF759EA"/>
    <w:rsid w:val="1DD2442A"/>
    <w:rsid w:val="1EF33B35"/>
    <w:rsid w:val="1FB61CDC"/>
    <w:rsid w:val="1FC16504"/>
    <w:rsid w:val="1FE95906"/>
    <w:rsid w:val="207908E4"/>
    <w:rsid w:val="22196184"/>
    <w:rsid w:val="222D1C2F"/>
    <w:rsid w:val="237B37B0"/>
    <w:rsid w:val="256B13EC"/>
    <w:rsid w:val="26202C71"/>
    <w:rsid w:val="264306FB"/>
    <w:rsid w:val="26BD33A9"/>
    <w:rsid w:val="27604855"/>
    <w:rsid w:val="2778394C"/>
    <w:rsid w:val="28550131"/>
    <w:rsid w:val="2A815193"/>
    <w:rsid w:val="2B577D1D"/>
    <w:rsid w:val="2B8C5C18"/>
    <w:rsid w:val="2B9E61C4"/>
    <w:rsid w:val="2C1E174D"/>
    <w:rsid w:val="2CEA52EC"/>
    <w:rsid w:val="2E19750B"/>
    <w:rsid w:val="2ED95618"/>
    <w:rsid w:val="2FDB2CCA"/>
    <w:rsid w:val="307D0225"/>
    <w:rsid w:val="30E12562"/>
    <w:rsid w:val="31706937"/>
    <w:rsid w:val="346C7B0F"/>
    <w:rsid w:val="352670DE"/>
    <w:rsid w:val="366E22BF"/>
    <w:rsid w:val="39A5199B"/>
    <w:rsid w:val="3AB91021"/>
    <w:rsid w:val="3ABD5DEE"/>
    <w:rsid w:val="3CC258D7"/>
    <w:rsid w:val="3CF61143"/>
    <w:rsid w:val="3D141F11"/>
    <w:rsid w:val="3D453E79"/>
    <w:rsid w:val="3DD1570D"/>
    <w:rsid w:val="402E32EA"/>
    <w:rsid w:val="422D5E9F"/>
    <w:rsid w:val="42CE4911"/>
    <w:rsid w:val="43622241"/>
    <w:rsid w:val="43EC6981"/>
    <w:rsid w:val="44E67CEF"/>
    <w:rsid w:val="45D4223E"/>
    <w:rsid w:val="463D7A54"/>
    <w:rsid w:val="47491B49"/>
    <w:rsid w:val="479E2B03"/>
    <w:rsid w:val="480E2E2C"/>
    <w:rsid w:val="487D1293"/>
    <w:rsid w:val="4A3162E0"/>
    <w:rsid w:val="4AFA3B96"/>
    <w:rsid w:val="4B372023"/>
    <w:rsid w:val="4C567E51"/>
    <w:rsid w:val="4CB87477"/>
    <w:rsid w:val="4DE30876"/>
    <w:rsid w:val="4E161403"/>
    <w:rsid w:val="4E2F2707"/>
    <w:rsid w:val="510C3737"/>
    <w:rsid w:val="523C093A"/>
    <w:rsid w:val="52720E14"/>
    <w:rsid w:val="53F71F19"/>
    <w:rsid w:val="53F96680"/>
    <w:rsid w:val="541C6050"/>
    <w:rsid w:val="544D0F50"/>
    <w:rsid w:val="556C2493"/>
    <w:rsid w:val="56531293"/>
    <w:rsid w:val="56BD022A"/>
    <w:rsid w:val="575B631B"/>
    <w:rsid w:val="59C503C4"/>
    <w:rsid w:val="5B3E76DB"/>
    <w:rsid w:val="5B741FBF"/>
    <w:rsid w:val="5C58107B"/>
    <w:rsid w:val="5D25151A"/>
    <w:rsid w:val="5D9F2CDA"/>
    <w:rsid w:val="5E6D4B86"/>
    <w:rsid w:val="5EC7722F"/>
    <w:rsid w:val="65ED4622"/>
    <w:rsid w:val="660035B2"/>
    <w:rsid w:val="660B53B0"/>
    <w:rsid w:val="66AC6B93"/>
    <w:rsid w:val="674A58BC"/>
    <w:rsid w:val="6781530B"/>
    <w:rsid w:val="67FC352D"/>
    <w:rsid w:val="680A3A35"/>
    <w:rsid w:val="699D3CBB"/>
    <w:rsid w:val="6B454EC0"/>
    <w:rsid w:val="6BA676ED"/>
    <w:rsid w:val="6BEA4A22"/>
    <w:rsid w:val="6CFC7C54"/>
    <w:rsid w:val="6D964B2D"/>
    <w:rsid w:val="6DAD4F9F"/>
    <w:rsid w:val="6E8757F0"/>
    <w:rsid w:val="6EC05510"/>
    <w:rsid w:val="6EC275EF"/>
    <w:rsid w:val="6FDB4330"/>
    <w:rsid w:val="706D0726"/>
    <w:rsid w:val="70C361CB"/>
    <w:rsid w:val="74922FDA"/>
    <w:rsid w:val="762D1373"/>
    <w:rsid w:val="76320737"/>
    <w:rsid w:val="78544995"/>
    <w:rsid w:val="7C7E6484"/>
    <w:rsid w:val="7DF05160"/>
    <w:rsid w:val="7ED12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unhideWhenUsed/>
    <w:qFormat/>
    <w:uiPriority w:val="39"/>
    <w:pPr>
      <w:ind w:left="1260"/>
      <w:jc w:val="left"/>
    </w:pPr>
    <w:rPr>
      <w:rFonts w:asciiTheme="minorHAnsi" w:hAnsiTheme="minorHAnsi"/>
      <w:sz w:val="20"/>
      <w:szCs w:val="20"/>
    </w:rPr>
  </w:style>
  <w:style w:type="paragraph" w:styleId="7">
    <w:name w:val="annotation text"/>
    <w:basedOn w:val="1"/>
    <w:link w:val="24"/>
    <w:qFormat/>
    <w:uiPriority w:val="0"/>
    <w:pPr>
      <w:jc w:val="left"/>
    </w:pPr>
  </w:style>
  <w:style w:type="paragraph" w:styleId="8">
    <w:name w:val="Body Text"/>
    <w:basedOn w:val="1"/>
    <w:next w:val="1"/>
    <w:qFormat/>
    <w:uiPriority w:val="0"/>
    <w:pPr>
      <w:spacing w:after="120"/>
    </w:pPr>
  </w:style>
  <w:style w:type="paragraph" w:styleId="9">
    <w:name w:val="toc 5"/>
    <w:basedOn w:val="1"/>
    <w:next w:val="1"/>
    <w:semiHidden/>
    <w:unhideWhenUsed/>
    <w:qFormat/>
    <w:uiPriority w:val="39"/>
    <w:pPr>
      <w:ind w:left="840"/>
      <w:jc w:val="left"/>
    </w:pPr>
    <w:rPr>
      <w:rFonts w:asciiTheme="minorHAnsi" w:hAnsiTheme="minorHAnsi"/>
      <w:sz w:val="20"/>
      <w:szCs w:val="20"/>
    </w:rPr>
  </w:style>
  <w:style w:type="paragraph" w:styleId="10">
    <w:name w:val="toc 3"/>
    <w:basedOn w:val="1"/>
    <w:next w:val="1"/>
    <w:unhideWhenUsed/>
    <w:qFormat/>
    <w:uiPriority w:val="39"/>
    <w:pPr>
      <w:ind w:left="420"/>
      <w:jc w:val="left"/>
    </w:pPr>
    <w:rPr>
      <w:rFonts w:asciiTheme="minorHAnsi" w:hAnsiTheme="minorHAnsi"/>
      <w:sz w:val="20"/>
      <w:szCs w:val="20"/>
    </w:rPr>
  </w:style>
  <w:style w:type="paragraph" w:styleId="11">
    <w:name w:val="toc 8"/>
    <w:basedOn w:val="1"/>
    <w:next w:val="1"/>
    <w:semiHidden/>
    <w:unhideWhenUsed/>
    <w:qFormat/>
    <w:uiPriority w:val="39"/>
    <w:pPr>
      <w:ind w:left="1470"/>
      <w:jc w:val="left"/>
    </w:pPr>
    <w:rPr>
      <w:rFonts w:asciiTheme="minorHAnsi" w:hAnsiTheme="minorHAnsi"/>
      <w:sz w:val="20"/>
      <w:szCs w:val="20"/>
    </w:rPr>
  </w:style>
  <w:style w:type="paragraph" w:styleId="12">
    <w:name w:val="footer"/>
    <w:basedOn w:val="1"/>
    <w:link w:val="29"/>
    <w:unhideWhenUsed/>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unhideWhenUsed/>
    <w:qFormat/>
    <w:uiPriority w:val="39"/>
    <w:pPr>
      <w:spacing w:before="120"/>
      <w:jc w:val="left"/>
    </w:pPr>
    <w:rPr>
      <w:rFonts w:asciiTheme="minorHAnsi" w:hAnsiTheme="minorHAnsi"/>
      <w:b/>
      <w:bCs/>
      <w:i/>
      <w:iCs/>
      <w:sz w:val="24"/>
    </w:rPr>
  </w:style>
  <w:style w:type="paragraph" w:styleId="15">
    <w:name w:val="toc 4"/>
    <w:basedOn w:val="1"/>
    <w:next w:val="1"/>
    <w:semiHidden/>
    <w:unhideWhenUsed/>
    <w:qFormat/>
    <w:uiPriority w:val="39"/>
    <w:pPr>
      <w:ind w:left="630"/>
      <w:jc w:val="left"/>
    </w:pPr>
    <w:rPr>
      <w:rFonts w:asciiTheme="minorHAnsi" w:hAnsiTheme="minorHAnsi"/>
      <w:sz w:val="20"/>
      <w:szCs w:val="20"/>
    </w:rPr>
  </w:style>
  <w:style w:type="paragraph" w:styleId="16">
    <w:name w:val="toc 6"/>
    <w:basedOn w:val="1"/>
    <w:next w:val="1"/>
    <w:semiHidden/>
    <w:unhideWhenUsed/>
    <w:qFormat/>
    <w:uiPriority w:val="39"/>
    <w:pPr>
      <w:ind w:left="1050"/>
      <w:jc w:val="left"/>
    </w:pPr>
    <w:rPr>
      <w:rFonts w:asciiTheme="minorHAnsi" w:hAnsiTheme="minorHAnsi"/>
      <w:sz w:val="20"/>
      <w:szCs w:val="20"/>
    </w:rPr>
  </w:style>
  <w:style w:type="paragraph" w:styleId="17">
    <w:name w:val="toc 2"/>
    <w:basedOn w:val="1"/>
    <w:next w:val="1"/>
    <w:semiHidden/>
    <w:unhideWhenUsed/>
    <w:qFormat/>
    <w:uiPriority w:val="39"/>
    <w:pPr>
      <w:spacing w:before="120"/>
      <w:ind w:left="210"/>
      <w:jc w:val="left"/>
    </w:pPr>
    <w:rPr>
      <w:rFonts w:asciiTheme="minorHAnsi" w:hAnsiTheme="minorHAnsi"/>
      <w:b/>
      <w:bCs/>
      <w:sz w:val="22"/>
      <w:szCs w:val="22"/>
    </w:rPr>
  </w:style>
  <w:style w:type="paragraph" w:styleId="18">
    <w:name w:val="toc 9"/>
    <w:basedOn w:val="1"/>
    <w:next w:val="1"/>
    <w:semiHidden/>
    <w:unhideWhenUsed/>
    <w:qFormat/>
    <w:uiPriority w:val="39"/>
    <w:pPr>
      <w:ind w:left="1680"/>
      <w:jc w:val="left"/>
    </w:pPr>
    <w:rPr>
      <w:rFonts w:asciiTheme="minorHAnsi" w:hAnsiTheme="minorHAnsi"/>
      <w:sz w:val="20"/>
      <w:szCs w:val="20"/>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unhideWhenUsed/>
    <w:qFormat/>
    <w:uiPriority w:val="99"/>
    <w:rPr>
      <w:color w:val="0000FF" w:themeColor="hyperlink"/>
      <w:u w:val="single"/>
      <w14:textFill>
        <w14:solidFill>
          <w14:schemeClr w14:val="hlink"/>
        </w14:solidFill>
      </w14:textFill>
    </w:rPr>
  </w:style>
  <w:style w:type="character" w:customStyle="1" w:styleId="24">
    <w:name w:val="批注文字 字符"/>
    <w:basedOn w:val="22"/>
    <w:link w:val="7"/>
    <w:qFormat/>
    <w:uiPriority w:val="0"/>
    <w:rPr>
      <w:rFonts w:ascii="Times New Roman" w:hAnsi="Times New Roman" w:eastAsia="宋体" w:cs="Times New Roman"/>
      <w:szCs w:val="24"/>
    </w:rPr>
  </w:style>
  <w:style w:type="character" w:customStyle="1" w:styleId="25">
    <w:name w:val="标题 2 字符"/>
    <w:basedOn w:val="22"/>
    <w:link w:val="3"/>
    <w:qFormat/>
    <w:uiPriority w:val="9"/>
    <w:rPr>
      <w:rFonts w:asciiTheme="majorHAnsi" w:hAnsiTheme="majorHAnsi" w:eastAsiaTheme="majorEastAsia" w:cstheme="majorBidi"/>
      <w:b/>
      <w:bCs/>
      <w:sz w:val="32"/>
      <w:szCs w:val="32"/>
    </w:rPr>
  </w:style>
  <w:style w:type="character" w:customStyle="1" w:styleId="26">
    <w:name w:val="标题 3 字符"/>
    <w:basedOn w:val="22"/>
    <w:link w:val="4"/>
    <w:qFormat/>
    <w:uiPriority w:val="9"/>
    <w:rPr>
      <w:rFonts w:ascii="Times New Roman" w:hAnsi="Times New Roman" w:eastAsia="宋体" w:cs="Times New Roman"/>
      <w:b/>
      <w:bCs/>
      <w:sz w:val="32"/>
      <w:szCs w:val="32"/>
    </w:rPr>
  </w:style>
  <w:style w:type="character" w:customStyle="1" w:styleId="27">
    <w:name w:val="标题 4 字符"/>
    <w:basedOn w:val="22"/>
    <w:link w:val="5"/>
    <w:qFormat/>
    <w:uiPriority w:val="9"/>
    <w:rPr>
      <w:rFonts w:asciiTheme="majorHAnsi" w:hAnsiTheme="majorHAnsi" w:eastAsiaTheme="majorEastAsia" w:cstheme="majorBidi"/>
      <w:b/>
      <w:bCs/>
      <w:sz w:val="28"/>
      <w:szCs w:val="28"/>
    </w:rPr>
  </w:style>
  <w:style w:type="character" w:customStyle="1" w:styleId="28">
    <w:name w:val="页眉 字符"/>
    <w:basedOn w:val="22"/>
    <w:link w:val="13"/>
    <w:qFormat/>
    <w:uiPriority w:val="99"/>
    <w:rPr>
      <w:rFonts w:ascii="Times New Roman" w:hAnsi="Times New Roman" w:eastAsia="宋体" w:cs="Times New Roman"/>
      <w:sz w:val="18"/>
      <w:szCs w:val="18"/>
    </w:rPr>
  </w:style>
  <w:style w:type="character" w:customStyle="1" w:styleId="29">
    <w:name w:val="页脚 字符"/>
    <w:basedOn w:val="22"/>
    <w:link w:val="12"/>
    <w:qFormat/>
    <w:uiPriority w:val="99"/>
    <w:rPr>
      <w:rFonts w:ascii="Times New Roman" w:hAnsi="Times New Roman" w:eastAsia="宋体" w:cs="Times New Roman"/>
      <w:sz w:val="18"/>
      <w:szCs w:val="18"/>
    </w:rPr>
  </w:style>
  <w:style w:type="paragraph" w:styleId="30">
    <w:name w:val="List Paragraph"/>
    <w:basedOn w:val="1"/>
    <w:qFormat/>
    <w:uiPriority w:val="99"/>
    <w:pPr>
      <w:ind w:firstLine="420" w:firstLineChars="200"/>
    </w:pPr>
  </w:style>
  <w:style w:type="character" w:customStyle="1" w:styleId="31">
    <w:name w:val="标题 1 字符"/>
    <w:basedOn w:val="22"/>
    <w:link w:val="2"/>
    <w:qFormat/>
    <w:uiPriority w:val="9"/>
    <w:rPr>
      <w:rFonts w:ascii="Times New Roman" w:hAnsi="Times New Roman" w:eastAsia="宋体" w:cs="Times New Roman"/>
      <w:b/>
      <w:bCs/>
      <w:kern w:val="44"/>
      <w:sz w:val="44"/>
      <w:szCs w:val="44"/>
    </w:rPr>
  </w:style>
  <w:style w:type="paragraph" w:customStyle="1" w:styleId="32">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p0"/>
    <w:basedOn w:val="1"/>
    <w:qFormat/>
    <w:uiPriority w:val="0"/>
    <w:pPr>
      <w:widowControl/>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D9F5-7E5D-BD42-AC12-704296403D6F}">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3</Pages>
  <Words>1876</Words>
  <Characters>1936</Characters>
  <Lines>15</Lines>
  <Paragraphs>4</Paragraphs>
  <TotalTime>10</TotalTime>
  <ScaleCrop>false</ScaleCrop>
  <LinksUpToDate>false</LinksUpToDate>
  <CharactersWithSpaces>1942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2023-09-13T05:56:00Z</dcterms:created>
  <dc:creator>李蕾</dc:creator>
  <cp:lastModifiedBy>青</cp:lastModifiedBy>
  <dcterms:modified xsi:type="dcterms:W3CDTF">2025-05-08T07:23:50Z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EA64FEC1CB25413D95A6DCB461FD9C68</vt:lpwstr>
  </property>
  <property fmtid="{D5CDD505-2E9C-101B-9397-08002B2CF9AE}" pid="4" name="KSOTemplateDocerSaveRecord">
    <vt:lpwstr>eyJoZGlkIjoiNmNlNmY5NDM2ZTgwMjMxNjc3OTE5ZmM5NjlmMTE2YWMiLCJ1c2VySWQiOiI2NDY0MzU1NzMifQ==</vt:lpwstr>
  </property>
</Properties>
</file>