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BA71E">
      <w:pPr>
        <w:jc w:val="center"/>
        <w:rPr>
          <w:b/>
          <w:sz w:val="32"/>
          <w:szCs w:val="32"/>
        </w:rPr>
      </w:pPr>
      <w:r>
        <w:rPr>
          <w:rFonts w:hint="eastAsia"/>
          <w:b/>
          <w:sz w:val="32"/>
          <w:szCs w:val="32"/>
          <w:lang w:val="en-US" w:eastAsia="zh-CN"/>
        </w:rPr>
        <w:t>浙江水利水电学院2026年信息系统网络安全等保测评服务</w:t>
      </w:r>
      <w:r>
        <w:rPr>
          <w:rFonts w:hint="eastAsia"/>
          <w:b/>
          <w:sz w:val="32"/>
          <w:szCs w:val="32"/>
        </w:rPr>
        <w:t>采购需求</w:t>
      </w:r>
    </w:p>
    <w:p w14:paraId="45C592F6">
      <w:pPr>
        <w:rPr>
          <w:b/>
        </w:rPr>
      </w:pPr>
      <w:bookmarkStart w:id="0" w:name="OLE_LINK1"/>
      <w:r>
        <w:rPr>
          <w:b/>
        </w:rPr>
        <w:t>一、概况</w:t>
      </w:r>
    </w:p>
    <w:tbl>
      <w:tblPr>
        <w:tblStyle w:val="6"/>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458"/>
      </w:tblGrid>
      <w:tr w14:paraId="0C48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2E1F260E">
            <w:pPr>
              <w:jc w:val="center"/>
              <w:rPr>
                <w:b/>
                <w:bCs/>
              </w:rPr>
            </w:pPr>
            <w:r>
              <w:rPr>
                <w:b/>
                <w:bCs/>
              </w:rPr>
              <w:t>项目名称</w:t>
            </w:r>
          </w:p>
        </w:tc>
        <w:tc>
          <w:tcPr>
            <w:tcW w:w="6458" w:type="dxa"/>
          </w:tcPr>
          <w:p w14:paraId="095B2F2D">
            <w:pPr>
              <w:pStyle w:val="2"/>
              <w:spacing w:before="0" w:after="0" w:line="240" w:lineRule="auto"/>
              <w:jc w:val="left"/>
            </w:pPr>
            <w:r>
              <w:rPr>
                <w:rFonts w:hint="eastAsia" w:asciiTheme="minorHAnsi" w:hAnsiTheme="minorHAnsi" w:eastAsiaTheme="minorEastAsia" w:cstheme="minorBidi"/>
                <w:b w:val="0"/>
                <w:bCs w:val="0"/>
                <w:kern w:val="2"/>
                <w:sz w:val="21"/>
                <w:szCs w:val="21"/>
                <w:lang w:val="en-US" w:eastAsia="zh-CN" w:bidi="ar-SA"/>
              </w:rPr>
              <w:t>浙江水利水电学院2026年信息系统网络安全等保测评服务</w:t>
            </w:r>
          </w:p>
        </w:tc>
      </w:tr>
      <w:tr w14:paraId="4811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0499AAC0">
            <w:pPr>
              <w:jc w:val="center"/>
              <w:rPr>
                <w:rFonts w:hint="eastAsia" w:eastAsiaTheme="minorEastAsia"/>
                <w:b/>
                <w:bCs/>
                <w:lang w:eastAsia="zh-CN"/>
              </w:rPr>
            </w:pPr>
            <w:r>
              <w:rPr>
                <w:rFonts w:hint="eastAsia"/>
                <w:b/>
                <w:bCs/>
              </w:rPr>
              <w:t>项目描述</w:t>
            </w:r>
          </w:p>
        </w:tc>
        <w:tc>
          <w:tcPr>
            <w:tcW w:w="6458" w:type="dxa"/>
          </w:tcPr>
          <w:p w14:paraId="6EA244C2">
            <w:r>
              <w:rPr>
                <w:rFonts w:hint="eastAsia" w:asciiTheme="minorHAnsi" w:hAnsiTheme="minorHAnsi" w:eastAsiaTheme="minorEastAsia" w:cstheme="minorBidi"/>
                <w:b w:val="0"/>
                <w:bCs w:val="0"/>
                <w:kern w:val="2"/>
                <w:sz w:val="21"/>
                <w:szCs w:val="21"/>
                <w:lang w:val="en-US" w:eastAsia="zh-CN" w:bidi="ar-SA"/>
              </w:rPr>
              <w:t>2026年浙江水利水电学院网络安全等级保护测评服务，测评系统包括教学科研、门户网站两大类系统。</w:t>
            </w:r>
          </w:p>
        </w:tc>
      </w:tr>
      <w:tr w14:paraId="6E347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4D7C0356">
            <w:pPr>
              <w:jc w:val="center"/>
              <w:rPr>
                <w:rFonts w:hint="eastAsia"/>
                <w:b/>
                <w:bCs/>
              </w:rPr>
            </w:pPr>
            <w:r>
              <w:rPr>
                <w:rFonts w:hint="eastAsia"/>
                <w:b/>
                <w:bCs/>
              </w:rPr>
              <w:t>预算金额（万）</w:t>
            </w:r>
          </w:p>
        </w:tc>
        <w:tc>
          <w:tcPr>
            <w:tcW w:w="6458" w:type="dxa"/>
          </w:tcPr>
          <w:p w14:paraId="340FE051">
            <w:pPr>
              <w:rPr>
                <w:rFonts w:hint="default" w:eastAsiaTheme="minorEastAsia"/>
                <w:lang w:val="en-US" w:eastAsia="zh-CN"/>
              </w:rPr>
            </w:pPr>
            <w:r>
              <w:rPr>
                <w:rFonts w:hint="eastAsia"/>
                <w:lang w:val="en-US" w:eastAsia="zh-CN"/>
              </w:rPr>
              <w:t>6.4</w:t>
            </w:r>
          </w:p>
        </w:tc>
      </w:tr>
      <w:tr w14:paraId="159F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2ED28CBB">
            <w:pPr>
              <w:jc w:val="center"/>
              <w:rPr>
                <w:b/>
                <w:bCs/>
              </w:rPr>
            </w:pPr>
            <w:r>
              <w:rPr>
                <w:rFonts w:hint="eastAsia"/>
                <w:b/>
                <w:bCs/>
              </w:rPr>
              <w:t>服务期</w:t>
            </w:r>
          </w:p>
        </w:tc>
        <w:tc>
          <w:tcPr>
            <w:tcW w:w="6458" w:type="dxa"/>
          </w:tcPr>
          <w:p w14:paraId="3EFE7361">
            <w:pPr>
              <w:rPr>
                <w:rFonts w:hint="default" w:eastAsiaTheme="minorEastAsia"/>
                <w:lang w:val="en-US" w:eastAsia="zh-CN"/>
              </w:rPr>
            </w:pPr>
            <w:r>
              <w:rPr>
                <w:rFonts w:hint="eastAsia" w:asciiTheme="minorHAnsi" w:hAnsiTheme="minorHAnsi" w:eastAsiaTheme="minorEastAsia" w:cstheme="minorBidi"/>
                <w:b w:val="0"/>
                <w:bCs w:val="0"/>
                <w:kern w:val="2"/>
                <w:sz w:val="21"/>
                <w:szCs w:val="21"/>
                <w:lang w:val="en-US" w:eastAsia="zh-CN" w:bidi="ar-SA"/>
              </w:rPr>
              <w:t>合同签订之日起3个月内完成测评的实施，202</w:t>
            </w:r>
            <w:r>
              <w:rPr>
                <w:rFonts w:hint="eastAsia" w:cstheme="minorBidi"/>
                <w:b w:val="0"/>
                <w:bCs w:val="0"/>
                <w:kern w:val="2"/>
                <w:sz w:val="21"/>
                <w:szCs w:val="21"/>
                <w:lang w:val="en-US" w:eastAsia="zh-CN" w:bidi="ar-SA"/>
              </w:rPr>
              <w:t>6</w:t>
            </w:r>
            <w:r>
              <w:rPr>
                <w:rFonts w:hint="eastAsia" w:asciiTheme="minorHAnsi" w:hAnsiTheme="minorHAnsi" w:eastAsiaTheme="minorEastAsia" w:cstheme="minorBidi"/>
                <w:b w:val="0"/>
                <w:bCs w:val="0"/>
                <w:kern w:val="2"/>
                <w:sz w:val="21"/>
                <w:szCs w:val="21"/>
                <w:lang w:val="en-US" w:eastAsia="zh-CN" w:bidi="ar-SA"/>
              </w:rPr>
              <w:t>年11月15日前交付公安部备案的测评报告与整改方案。</w:t>
            </w:r>
          </w:p>
        </w:tc>
      </w:tr>
      <w:bookmarkEnd w:id="0"/>
    </w:tbl>
    <w:p w14:paraId="04D809B6">
      <w:pPr>
        <w:rPr>
          <w:rFonts w:hint="default" w:eastAsiaTheme="minorEastAsia"/>
          <w:b/>
          <w:lang w:val="en-US" w:eastAsia="zh-CN"/>
        </w:rPr>
      </w:pPr>
      <w:bookmarkStart w:id="1" w:name="_Toc4514"/>
      <w:r>
        <w:rPr>
          <w:rFonts w:hint="eastAsia"/>
          <w:b/>
        </w:rPr>
        <w:t>二、</w:t>
      </w:r>
      <w:bookmarkEnd w:id="1"/>
      <w:r>
        <w:rPr>
          <w:rFonts w:hint="eastAsia"/>
          <w:b/>
          <w:lang w:val="en-US" w:eastAsia="zh-CN"/>
        </w:rPr>
        <w:t>服务内容</w:t>
      </w:r>
    </w:p>
    <w:tbl>
      <w:tblPr>
        <w:tblStyle w:val="5"/>
        <w:tblW w:w="8316"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9"/>
        <w:gridCol w:w="1728"/>
        <w:gridCol w:w="5869"/>
      </w:tblGrid>
      <w:tr w14:paraId="09ACCC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719" w:type="dxa"/>
            <w:tcBorders>
              <w:top w:val="single" w:color="auto" w:sz="4" w:space="0"/>
              <w:bottom w:val="single" w:color="auto" w:sz="4" w:space="0"/>
              <w:right w:val="single" w:color="auto" w:sz="4" w:space="0"/>
            </w:tcBorders>
            <w:vAlign w:val="center"/>
          </w:tcPr>
          <w:p w14:paraId="5B79C671">
            <w:pPr>
              <w:rPr>
                <w:rFonts w:hint="default" w:eastAsiaTheme="minorEastAsia"/>
                <w:lang w:val="en-US" w:eastAsia="zh-CN"/>
              </w:rPr>
            </w:pPr>
            <w:bookmarkStart w:id="2" w:name="OLE_LINK2" w:colFirst="0" w:colLast="1"/>
            <w:r>
              <w:rPr>
                <w:rFonts w:hint="eastAsia"/>
                <w:lang w:val="en-US" w:eastAsia="zh-CN"/>
              </w:rPr>
              <w:t>序号</w:t>
            </w:r>
          </w:p>
        </w:tc>
        <w:tc>
          <w:tcPr>
            <w:tcW w:w="1728" w:type="dxa"/>
            <w:tcBorders>
              <w:top w:val="single" w:color="auto" w:sz="4" w:space="0"/>
              <w:left w:val="single" w:color="auto" w:sz="4" w:space="0"/>
              <w:bottom w:val="single" w:color="auto" w:sz="4" w:space="0"/>
            </w:tcBorders>
            <w:vAlign w:val="center"/>
          </w:tcPr>
          <w:p w14:paraId="24B06DAC">
            <w:pPr>
              <w:rPr>
                <w:rFonts w:hint="default" w:eastAsiaTheme="minorEastAsia"/>
                <w:lang w:val="en-US" w:eastAsia="zh-CN"/>
              </w:rPr>
            </w:pPr>
            <w:r>
              <w:rPr>
                <w:rFonts w:hint="eastAsia"/>
                <w:lang w:val="en-US" w:eastAsia="zh-CN"/>
              </w:rPr>
              <w:t>服务名称</w:t>
            </w:r>
          </w:p>
        </w:tc>
        <w:tc>
          <w:tcPr>
            <w:tcW w:w="5869" w:type="dxa"/>
            <w:tcBorders>
              <w:top w:val="single" w:color="auto" w:sz="4" w:space="0"/>
              <w:left w:val="single" w:color="auto" w:sz="4" w:space="0"/>
              <w:bottom w:val="single" w:color="auto" w:sz="4" w:space="0"/>
            </w:tcBorders>
            <w:vAlign w:val="center"/>
          </w:tcPr>
          <w:p w14:paraId="5877504E">
            <w:pPr>
              <w:rPr>
                <w:rFonts w:hint="default" w:eastAsiaTheme="minorEastAsia"/>
                <w:lang w:val="en-US" w:eastAsia="zh-CN"/>
              </w:rPr>
            </w:pPr>
            <w:r>
              <w:rPr>
                <w:rFonts w:hint="eastAsia"/>
                <w:lang w:val="en-US" w:eastAsia="zh-CN"/>
              </w:rPr>
              <w:t>服务技术指标</w:t>
            </w:r>
          </w:p>
        </w:tc>
      </w:tr>
      <w:tr w14:paraId="7A3583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48" w:hRule="atLeast"/>
        </w:trPr>
        <w:tc>
          <w:tcPr>
            <w:tcW w:w="719" w:type="dxa"/>
            <w:tcBorders>
              <w:top w:val="single" w:color="auto" w:sz="4" w:space="0"/>
              <w:bottom w:val="single" w:color="auto" w:sz="4" w:space="0"/>
              <w:right w:val="single" w:color="auto" w:sz="4" w:space="0"/>
            </w:tcBorders>
            <w:vAlign w:val="center"/>
          </w:tcPr>
          <w:p w14:paraId="6818660D">
            <w:pPr>
              <w:rPr>
                <w:rFonts w:hint="eastAsia" w:eastAsiaTheme="minorEastAsia"/>
                <w:lang w:val="en-US" w:eastAsia="zh-CN"/>
              </w:rPr>
            </w:pPr>
            <w:bookmarkStart w:id="3" w:name="_Toc933"/>
            <w:r>
              <w:rPr>
                <w:rFonts w:hint="eastAsia"/>
                <w:lang w:val="en-US" w:eastAsia="zh-CN"/>
              </w:rPr>
              <w:t>1</w:t>
            </w:r>
          </w:p>
        </w:tc>
        <w:tc>
          <w:tcPr>
            <w:tcW w:w="1728" w:type="dxa"/>
            <w:tcBorders>
              <w:top w:val="single" w:color="auto" w:sz="4" w:space="0"/>
              <w:left w:val="single" w:color="auto" w:sz="4" w:space="0"/>
              <w:bottom w:val="single" w:color="auto" w:sz="4" w:space="0"/>
            </w:tcBorders>
            <w:vAlign w:val="center"/>
          </w:tcPr>
          <w:p w14:paraId="0B0A16C5">
            <w:pPr>
              <w:rPr>
                <w:rFonts w:hint="default" w:eastAsiaTheme="minorEastAsia"/>
                <w:lang w:val="en-US" w:eastAsia="zh-CN"/>
              </w:rPr>
            </w:pPr>
            <w:r>
              <w:rPr>
                <w:rFonts w:hint="eastAsia"/>
                <w:lang w:val="en-US" w:eastAsia="zh-CN"/>
              </w:rPr>
              <w:t>教学科研系统</w:t>
            </w:r>
          </w:p>
        </w:tc>
        <w:tc>
          <w:tcPr>
            <w:tcW w:w="5869" w:type="dxa"/>
            <w:vMerge w:val="restart"/>
            <w:tcBorders>
              <w:top w:val="single" w:color="auto" w:sz="4" w:space="0"/>
              <w:left w:val="single" w:color="auto" w:sz="4" w:space="0"/>
            </w:tcBorders>
            <w:vAlign w:val="center"/>
          </w:tcPr>
          <w:p w14:paraId="3E90D5EA">
            <w:pPr>
              <w:ind w:firstLine="420" w:firstLineChars="200"/>
              <w:rPr>
                <w:rFonts w:hint="eastAsia"/>
                <w:lang w:val="en-US" w:eastAsia="zh-CN"/>
              </w:rPr>
            </w:pPr>
            <w:r>
              <w:rPr>
                <w:rFonts w:hint="eastAsia"/>
                <w:lang w:val="en-US" w:eastAsia="zh-CN"/>
              </w:rPr>
              <w:t>根据国家等级保护相关标准，成交供应商对这2套信息系统完成二级等保测评。信息系统安全等级保护测评的内容（包括但不限于）以下内容：</w:t>
            </w:r>
          </w:p>
          <w:p w14:paraId="4424A3BF">
            <w:pPr>
              <w:ind w:firstLine="420" w:firstLineChars="200"/>
              <w:rPr>
                <w:rFonts w:hint="eastAsia"/>
                <w:lang w:val="en-US" w:eastAsia="zh-CN"/>
              </w:rPr>
            </w:pPr>
            <w:r>
              <w:rPr>
                <w:rFonts w:hint="eastAsia"/>
                <w:lang w:val="en-US" w:eastAsia="zh-CN"/>
              </w:rPr>
              <w:t>根据用户单位信息系统的保护等级，并依据《GB/T 22239-2019信息安全技术信息系统安全等级保护基本要求》的条款要求，全面分析应用系统的安全保护措施与等级保护相应级别</w:t>
            </w:r>
            <w:bookmarkStart w:id="10" w:name="_GoBack"/>
            <w:bookmarkEnd w:id="10"/>
            <w:r>
              <w:rPr>
                <w:rFonts w:hint="eastAsia"/>
                <w:lang w:val="en-US" w:eastAsia="zh-CN"/>
              </w:rPr>
              <w:t>之间的差距，进行合规性分析，为系统等级保护加固整改提供客观依据，配合采购方督促集成商根据安全改进建议进行适度加固整改，测评的内容包括但不限于以下内容：</w:t>
            </w:r>
          </w:p>
          <w:p w14:paraId="67671CC2">
            <w:pPr>
              <w:ind w:firstLine="420" w:firstLineChars="200"/>
              <w:rPr>
                <w:rFonts w:hint="default"/>
                <w:lang w:val="en-US" w:eastAsia="zh-CN"/>
              </w:rPr>
            </w:pPr>
            <w:r>
              <w:rPr>
                <w:rFonts w:hint="eastAsia"/>
                <w:lang w:val="en-US" w:eastAsia="zh-CN"/>
              </w:rPr>
              <w:t>安全通用要求（安全物理环境、安全通信网络、安全区域边界、安全计算环境、安全管理中心、安全管理制度、安全管理机构、安全管理人员、安全建设管理、安全运维管理）及扩展项要求。</w:t>
            </w:r>
          </w:p>
        </w:tc>
      </w:tr>
      <w:tr w14:paraId="3591E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719" w:type="dxa"/>
            <w:tcBorders>
              <w:top w:val="single" w:color="auto" w:sz="4" w:space="0"/>
              <w:bottom w:val="single" w:color="auto" w:sz="4" w:space="0"/>
              <w:right w:val="single" w:color="auto" w:sz="4" w:space="0"/>
            </w:tcBorders>
            <w:vAlign w:val="center"/>
          </w:tcPr>
          <w:p w14:paraId="231474DC">
            <w:pPr>
              <w:rPr>
                <w:rFonts w:hint="eastAsia" w:eastAsiaTheme="minorEastAsia"/>
                <w:lang w:val="en-US" w:eastAsia="zh-CN"/>
              </w:rPr>
            </w:pPr>
            <w:r>
              <w:rPr>
                <w:rFonts w:hint="eastAsia"/>
                <w:lang w:val="en-US" w:eastAsia="zh-CN"/>
              </w:rPr>
              <w:t>2</w:t>
            </w:r>
          </w:p>
        </w:tc>
        <w:tc>
          <w:tcPr>
            <w:tcW w:w="1728" w:type="dxa"/>
            <w:tcBorders>
              <w:top w:val="single" w:color="auto" w:sz="4" w:space="0"/>
              <w:left w:val="single" w:color="auto" w:sz="4" w:space="0"/>
              <w:bottom w:val="single" w:color="auto" w:sz="4" w:space="0"/>
            </w:tcBorders>
            <w:vAlign w:val="center"/>
          </w:tcPr>
          <w:p w14:paraId="7637D23B">
            <w:pPr>
              <w:rPr>
                <w:rFonts w:hint="eastAsia" w:eastAsiaTheme="minorEastAsia"/>
                <w:lang w:val="en-US" w:eastAsia="zh-CN"/>
              </w:rPr>
            </w:pPr>
            <w:r>
              <w:rPr>
                <w:rFonts w:hint="eastAsia"/>
                <w:lang w:val="en-US" w:eastAsia="zh-CN"/>
              </w:rPr>
              <w:t>门户网站系统</w:t>
            </w:r>
          </w:p>
        </w:tc>
        <w:tc>
          <w:tcPr>
            <w:tcW w:w="5869" w:type="dxa"/>
            <w:vMerge w:val="continue"/>
            <w:tcBorders>
              <w:left w:val="single" w:color="auto" w:sz="4" w:space="0"/>
            </w:tcBorders>
            <w:vAlign w:val="center"/>
          </w:tcPr>
          <w:p w14:paraId="00ACBF32">
            <w:pPr>
              <w:rPr>
                <w:rFonts w:hint="eastAsia"/>
                <w:lang w:val="en-US" w:eastAsia="zh-CN"/>
              </w:rPr>
            </w:pPr>
          </w:p>
        </w:tc>
      </w:tr>
      <w:tr w14:paraId="05CBF5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8316" w:type="dxa"/>
            <w:gridSpan w:val="3"/>
            <w:tcBorders>
              <w:top w:val="single" w:color="auto" w:sz="4" w:space="0"/>
              <w:bottom w:val="single" w:color="auto" w:sz="4" w:space="0"/>
            </w:tcBorders>
            <w:vAlign w:val="center"/>
          </w:tcPr>
          <w:p w14:paraId="05A9D26B">
            <w:pPr>
              <w:rPr>
                <w:rFonts w:hint="default"/>
                <w:lang w:val="en-US" w:eastAsia="zh-CN"/>
              </w:rPr>
            </w:pPr>
            <w:r>
              <w:rPr>
                <w:rFonts w:hint="eastAsia"/>
                <w:b/>
                <w:bCs/>
                <w:lang w:val="en-US" w:eastAsia="zh-CN"/>
              </w:rPr>
              <w:t>注：</w:t>
            </w:r>
            <w:r>
              <w:rPr>
                <w:rFonts w:hint="eastAsia"/>
                <w:lang w:val="en-US" w:eastAsia="zh-CN"/>
              </w:rPr>
              <w:t>测评工作需在采购方现场开展</w:t>
            </w:r>
          </w:p>
        </w:tc>
      </w:tr>
      <w:bookmarkEnd w:id="2"/>
    </w:tbl>
    <w:p w14:paraId="6866BAF2">
      <w:pPr>
        <w:rPr>
          <w:b/>
        </w:rPr>
      </w:pPr>
      <w:r>
        <w:rPr>
          <w:rFonts w:hint="eastAsia"/>
          <w:b/>
        </w:rPr>
        <w:t>三、服务要求（技术要求里另有注明的以技术要求为准）</w:t>
      </w:r>
      <w:bookmarkEnd w:id="3"/>
    </w:p>
    <w:tbl>
      <w:tblPr>
        <w:tblStyle w:val="5"/>
        <w:tblW w:w="8346"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80"/>
        <w:gridCol w:w="7166"/>
      </w:tblGrid>
      <w:tr w14:paraId="3CA0E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180" w:type="dxa"/>
            <w:tcBorders>
              <w:top w:val="single" w:color="auto" w:sz="4" w:space="0"/>
              <w:bottom w:val="single" w:color="auto" w:sz="4" w:space="0"/>
              <w:right w:val="single" w:color="auto" w:sz="4" w:space="0"/>
            </w:tcBorders>
            <w:vAlign w:val="center"/>
          </w:tcPr>
          <w:p w14:paraId="397FC2E3">
            <w:pPr>
              <w:rPr>
                <w:rFonts w:hint="default" w:eastAsiaTheme="minorEastAsia"/>
                <w:lang w:val="en-US" w:eastAsia="zh-CN"/>
              </w:rPr>
            </w:pPr>
            <w:r>
              <w:rPr>
                <w:rFonts w:hint="eastAsia"/>
                <w:lang w:val="en-US" w:eastAsia="zh-CN"/>
              </w:rPr>
              <w:t>对服务方案的要求</w:t>
            </w:r>
          </w:p>
        </w:tc>
        <w:tc>
          <w:tcPr>
            <w:tcW w:w="7166" w:type="dxa"/>
            <w:tcBorders>
              <w:top w:val="single" w:color="auto" w:sz="4" w:space="0"/>
              <w:left w:val="single" w:color="auto" w:sz="4" w:space="0"/>
              <w:bottom w:val="single" w:color="auto" w:sz="4" w:space="0"/>
            </w:tcBorders>
            <w:vAlign w:val="center"/>
          </w:tcPr>
          <w:p w14:paraId="67352FBB">
            <w:r>
              <w:rPr>
                <w:rFonts w:hint="eastAsia" w:ascii="宋体" w:hAnsi="宋体" w:cs="宋体"/>
                <w:color w:val="000000"/>
                <w:kern w:val="0"/>
                <w:szCs w:val="21"/>
                <w:lang w:val="en-US" w:eastAsia="zh-CN"/>
              </w:rPr>
              <w:t>实施过程中，服务方案需与</w:t>
            </w:r>
            <w:r>
              <w:rPr>
                <w:rFonts w:hint="eastAsia"/>
              </w:rPr>
              <w:t>采购</w:t>
            </w:r>
            <w:r>
              <w:rPr>
                <w:rFonts w:hint="eastAsia"/>
                <w:lang w:val="en-US" w:eastAsia="zh-CN"/>
              </w:rPr>
              <w:t>方确认后方可进行实施。</w:t>
            </w:r>
          </w:p>
        </w:tc>
      </w:tr>
      <w:tr w14:paraId="34422E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180" w:type="dxa"/>
            <w:tcBorders>
              <w:top w:val="single" w:color="auto" w:sz="4" w:space="0"/>
              <w:bottom w:val="single" w:color="auto" w:sz="4" w:space="0"/>
              <w:right w:val="single" w:color="auto" w:sz="4" w:space="0"/>
            </w:tcBorders>
            <w:vAlign w:val="center"/>
          </w:tcPr>
          <w:p w14:paraId="0BD57BBD">
            <w:pPr>
              <w:rPr>
                <w:rFonts w:hint="eastAsia"/>
              </w:rPr>
            </w:pPr>
            <w:r>
              <w:rPr>
                <w:rFonts w:hint="eastAsia"/>
              </w:rPr>
              <w:t>服务</w:t>
            </w:r>
            <w:r>
              <w:rPr>
                <w:rFonts w:hint="eastAsia"/>
                <w:lang w:val="en-US" w:eastAsia="zh-CN"/>
              </w:rPr>
              <w:t>标准</w:t>
            </w:r>
          </w:p>
        </w:tc>
        <w:tc>
          <w:tcPr>
            <w:tcW w:w="7166" w:type="dxa"/>
            <w:tcBorders>
              <w:top w:val="single" w:color="auto" w:sz="4" w:space="0"/>
              <w:left w:val="single" w:color="auto" w:sz="4" w:space="0"/>
              <w:bottom w:val="single" w:color="auto" w:sz="4" w:space="0"/>
            </w:tcBorders>
            <w:vAlign w:val="center"/>
          </w:tcPr>
          <w:p w14:paraId="43DB502D">
            <w:pPr>
              <w:rPr>
                <w:rFonts w:hint="eastAsia"/>
                <w:lang w:val="en-US" w:eastAsia="zh-CN"/>
              </w:rPr>
            </w:pPr>
            <w:r>
              <w:rPr>
                <w:rFonts w:hint="eastAsia"/>
                <w:lang w:val="en-US" w:eastAsia="zh-CN"/>
              </w:rPr>
              <w:t>（1）测评应满足的原则</w:t>
            </w:r>
          </w:p>
          <w:p w14:paraId="3761E5E1">
            <w:pPr>
              <w:ind w:firstLine="420" w:firstLineChars="200"/>
              <w:rPr>
                <w:rFonts w:hint="eastAsia"/>
                <w:lang w:val="en-US" w:eastAsia="zh-CN"/>
              </w:rPr>
            </w:pPr>
            <w:r>
              <w:rPr>
                <w:rFonts w:hint="eastAsia"/>
                <w:lang w:val="en-US" w:eastAsia="zh-CN"/>
              </w:rPr>
              <w:t>本次安全保护等级保护测评实施方案设计与具体实施应满足以下原则：</w:t>
            </w:r>
          </w:p>
          <w:p w14:paraId="075B7754">
            <w:pPr>
              <w:ind w:firstLine="420" w:firstLineChars="200"/>
              <w:rPr>
                <w:rFonts w:hint="eastAsia"/>
                <w:lang w:val="en-US" w:eastAsia="zh-CN"/>
              </w:rPr>
            </w:pPr>
            <w:r>
              <w:rPr>
                <w:rFonts w:hint="eastAsia"/>
                <w:lang w:val="en-US" w:eastAsia="zh-CN"/>
              </w:rPr>
              <w:t>保密原则：对测评的过程数据和结果数据严格保密，未经授权不得泄露给任何单位和个人，不得利用此数据进行任何侵害采购方的行为，否则采购方有权追究成交供应商的责任。</w:t>
            </w:r>
          </w:p>
          <w:p w14:paraId="564FF05C">
            <w:pPr>
              <w:ind w:firstLine="420" w:firstLineChars="200"/>
              <w:rPr>
                <w:rFonts w:hint="eastAsia"/>
                <w:lang w:val="en-US" w:eastAsia="zh-CN"/>
              </w:rPr>
            </w:pPr>
            <w:r>
              <w:rPr>
                <w:rFonts w:hint="eastAsia"/>
                <w:lang w:val="en-US" w:eastAsia="zh-CN"/>
              </w:rPr>
              <w:t>标准性原则：测评方案的设计与实施应依据国家等级保护的相关标准进行。</w:t>
            </w:r>
          </w:p>
          <w:p w14:paraId="069AF684">
            <w:pPr>
              <w:ind w:firstLine="420" w:firstLineChars="200"/>
              <w:rPr>
                <w:rFonts w:hint="eastAsia"/>
                <w:lang w:val="en-US" w:eastAsia="zh-CN"/>
              </w:rPr>
            </w:pPr>
            <w:r>
              <w:rPr>
                <w:rFonts w:hint="eastAsia"/>
                <w:lang w:val="en-US" w:eastAsia="zh-CN"/>
              </w:rPr>
              <w:t>规范性原则：成交供应商的工作中的过程和文档，具有很好的规范性，可以便于项目的跟踪和控制。</w:t>
            </w:r>
          </w:p>
          <w:p w14:paraId="59B5318E">
            <w:pPr>
              <w:ind w:firstLine="420" w:firstLineChars="200"/>
              <w:rPr>
                <w:rFonts w:hint="eastAsia"/>
                <w:lang w:val="en-US" w:eastAsia="zh-CN"/>
              </w:rPr>
            </w:pPr>
            <w:r>
              <w:rPr>
                <w:rFonts w:hint="eastAsia"/>
                <w:lang w:val="en-US" w:eastAsia="zh-CN"/>
              </w:rPr>
              <w:t>可控性原则：测评服务的进度要跟上进度表的安排，保证采购方对于测评工作的可控性。</w:t>
            </w:r>
          </w:p>
          <w:p w14:paraId="7B5CB926">
            <w:pPr>
              <w:ind w:firstLine="420" w:firstLineChars="200"/>
              <w:rPr>
                <w:rFonts w:hint="eastAsia"/>
                <w:lang w:val="en-US" w:eastAsia="zh-CN"/>
              </w:rPr>
            </w:pPr>
            <w:r>
              <w:rPr>
                <w:rFonts w:hint="eastAsia"/>
                <w:lang w:val="en-US" w:eastAsia="zh-CN"/>
              </w:rPr>
              <w:t>整体性原则：测评的范围和内容应当整体全面，包括国家等级保护相关要求涉及的各个层面。</w:t>
            </w:r>
          </w:p>
          <w:p w14:paraId="4032935C">
            <w:pPr>
              <w:ind w:firstLine="420" w:firstLineChars="200"/>
              <w:rPr>
                <w:rFonts w:hint="eastAsia"/>
                <w:lang w:val="en-US" w:eastAsia="zh-CN"/>
              </w:rPr>
            </w:pPr>
            <w:r>
              <w:rPr>
                <w:rFonts w:hint="eastAsia"/>
                <w:lang w:val="en-US" w:eastAsia="zh-CN"/>
              </w:rPr>
              <w:t>最小影响原则：测评工作应尽可能小的影响系统和网络，并在可控范围内；测评工作不能对现有信息系统的正常运行、业务的正常开展产生任何影响。</w:t>
            </w:r>
          </w:p>
          <w:p w14:paraId="2D6B9C25">
            <w:pPr>
              <w:rPr>
                <w:rFonts w:hint="eastAsia"/>
                <w:lang w:val="en-US" w:eastAsia="zh-CN"/>
              </w:rPr>
            </w:pPr>
            <w:r>
              <w:rPr>
                <w:rFonts w:hint="eastAsia"/>
                <w:lang w:val="en-US" w:eastAsia="zh-CN"/>
              </w:rPr>
              <w:t>（2）安全测评报告</w:t>
            </w:r>
          </w:p>
          <w:p w14:paraId="42CA7F86">
            <w:pPr>
              <w:ind w:firstLine="420" w:firstLineChars="200"/>
              <w:rPr>
                <w:rFonts w:hint="eastAsia"/>
                <w:lang w:val="en-US" w:eastAsia="zh-CN"/>
              </w:rPr>
            </w:pPr>
            <w:r>
              <w:rPr>
                <w:rFonts w:hint="eastAsia"/>
                <w:lang w:val="en-US" w:eastAsia="zh-CN"/>
              </w:rPr>
              <w:t>成交供应商应对采购方的信息系统进行等级保护测评，形成相应的报告。</w:t>
            </w:r>
          </w:p>
          <w:p w14:paraId="09D9AF12">
            <w:pPr>
              <w:ind w:firstLine="420" w:firstLineChars="200"/>
              <w:rPr>
                <w:rFonts w:hint="eastAsia"/>
                <w:lang w:val="en-US" w:eastAsia="zh-CN"/>
              </w:rPr>
            </w:pPr>
            <w:r>
              <w:rPr>
                <w:rFonts w:hint="eastAsia"/>
                <w:lang w:val="en-US" w:eastAsia="zh-CN"/>
              </w:rPr>
              <w:t>成交供应商在测评后出具符合公安厅要求的系统安全保护等级测评报告；</w:t>
            </w:r>
          </w:p>
          <w:p w14:paraId="21BBA211">
            <w:pPr>
              <w:ind w:firstLine="420" w:firstLineChars="200"/>
              <w:rPr>
                <w:rFonts w:hint="eastAsia"/>
                <w:lang w:val="en-US" w:eastAsia="zh-CN"/>
              </w:rPr>
            </w:pPr>
            <w:r>
              <w:rPr>
                <w:rFonts w:hint="eastAsia"/>
                <w:lang w:val="en-US" w:eastAsia="zh-CN"/>
              </w:rPr>
              <w:t>对上述系统不符合信息安全等级保护有关管理规范和技术标准的，成交供应商出具可行整改方案并协助采购方整改服务。</w:t>
            </w:r>
          </w:p>
          <w:p w14:paraId="4607C5CD">
            <w:pPr>
              <w:ind w:firstLine="420" w:firstLineChars="200"/>
              <w:rPr>
                <w:rFonts w:hint="eastAsia"/>
                <w:lang w:val="en-US" w:eastAsia="zh-CN"/>
              </w:rPr>
            </w:pPr>
            <w:r>
              <w:rPr>
                <w:rFonts w:hint="eastAsia"/>
                <w:lang w:val="en-US" w:eastAsia="zh-CN"/>
              </w:rPr>
              <w:t>成交供应商协助采购方办理信息系统安全保护等级测评备案手续。</w:t>
            </w:r>
          </w:p>
          <w:p w14:paraId="2E4122C0">
            <w:pPr>
              <w:rPr>
                <w:rFonts w:hint="eastAsia"/>
                <w:lang w:val="en-US" w:eastAsia="zh-CN"/>
              </w:rPr>
            </w:pPr>
            <w:r>
              <w:rPr>
                <w:rFonts w:hint="eastAsia"/>
                <w:lang w:val="en-US" w:eastAsia="zh-CN"/>
              </w:rPr>
              <w:t>（3）本次等级保护测评的整体要求</w:t>
            </w:r>
          </w:p>
          <w:p w14:paraId="678168A2">
            <w:pPr>
              <w:ind w:firstLine="420" w:firstLineChars="200"/>
              <w:rPr>
                <w:rFonts w:hint="eastAsia"/>
                <w:lang w:val="en-US" w:eastAsia="zh-CN"/>
              </w:rPr>
            </w:pPr>
            <w:r>
              <w:rPr>
                <w:rFonts w:hint="eastAsia"/>
                <w:lang w:val="en-US" w:eastAsia="zh-CN"/>
              </w:rPr>
              <w:t>成交供应商应详细描述本次等级保护测评的整体实施方案，包括项目概述、等保测评方案、项目实施方案、测试过程中需使用测试设备清单、时间安排、阶段性文档提交和验收标准等。</w:t>
            </w:r>
          </w:p>
          <w:p w14:paraId="2357C569">
            <w:pPr>
              <w:ind w:firstLine="420" w:firstLineChars="200"/>
              <w:rPr>
                <w:rFonts w:hint="eastAsia"/>
                <w:lang w:val="en-US" w:eastAsia="zh-CN"/>
              </w:rPr>
            </w:pPr>
            <w:r>
              <w:rPr>
                <w:rFonts w:hint="eastAsia"/>
                <w:lang w:val="en-US" w:eastAsia="zh-CN"/>
              </w:rPr>
              <w:t>成交供应商应详细描述测评人员的组成、资质及各自职责的划分。成交供应商应配置有经验的测评人员进行本次等级保护测评工作。</w:t>
            </w:r>
          </w:p>
          <w:p w14:paraId="3B072000">
            <w:pPr>
              <w:ind w:firstLine="420" w:firstLineChars="200"/>
              <w:rPr>
                <w:rFonts w:hint="eastAsia"/>
                <w:lang w:val="en-US" w:eastAsia="zh-CN"/>
              </w:rPr>
            </w:pPr>
            <w:r>
              <w:rPr>
                <w:rFonts w:hint="eastAsia"/>
                <w:lang w:val="en-US" w:eastAsia="zh-CN"/>
              </w:rPr>
              <w:t>本次等级保护测评实施过程中所使用到的各种工具软件由成交供应商推荐，经采购方确认后由成交供应商提供并在测评中使用。</w:t>
            </w:r>
          </w:p>
          <w:p w14:paraId="159A04A0">
            <w:pPr>
              <w:ind w:firstLine="420" w:firstLineChars="200"/>
              <w:rPr>
                <w:rFonts w:hint="eastAsia"/>
                <w:lang w:val="en-US" w:eastAsia="zh-CN"/>
              </w:rPr>
            </w:pPr>
            <w:r>
              <w:rPr>
                <w:rFonts w:hint="eastAsia"/>
                <w:lang w:val="en-US" w:eastAsia="zh-CN"/>
              </w:rPr>
              <w:t>安全测评工具软件运行可能需要的硬件平台（如笔记本电脑、PC、工作站等）和操作系统软件等由成交供应商推荐，经采购方确认后由成交供应商提供并在测评中使用。</w:t>
            </w:r>
          </w:p>
          <w:p w14:paraId="62822AA2">
            <w:pPr>
              <w:ind w:firstLine="420" w:firstLineChars="200"/>
            </w:pPr>
            <w:r>
              <w:rPr>
                <w:rFonts w:hint="eastAsia"/>
                <w:lang w:val="en-US" w:eastAsia="zh-CN"/>
              </w:rPr>
              <w:t>安全测评需要的运行环境（如场地、网络环境等）由采购方提供，成交供应商应详细描述需要的运行环境的具体要求。</w:t>
            </w:r>
          </w:p>
        </w:tc>
      </w:tr>
      <w:tr w14:paraId="000327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180" w:type="dxa"/>
            <w:tcBorders>
              <w:top w:val="single" w:color="auto" w:sz="4" w:space="0"/>
              <w:bottom w:val="single" w:color="auto" w:sz="4" w:space="0"/>
              <w:right w:val="single" w:color="auto" w:sz="4" w:space="0"/>
            </w:tcBorders>
            <w:vAlign w:val="center"/>
          </w:tcPr>
          <w:p w14:paraId="0438CAC4">
            <w:r>
              <w:rPr>
                <w:rFonts w:hint="eastAsia"/>
              </w:rPr>
              <w:t>驻场人员要求</w:t>
            </w:r>
          </w:p>
        </w:tc>
        <w:tc>
          <w:tcPr>
            <w:tcW w:w="7166" w:type="dxa"/>
            <w:tcBorders>
              <w:top w:val="single" w:color="auto" w:sz="4" w:space="0"/>
              <w:left w:val="single" w:color="auto" w:sz="4" w:space="0"/>
              <w:bottom w:val="single" w:color="auto" w:sz="4" w:space="0"/>
            </w:tcBorders>
            <w:vAlign w:val="center"/>
          </w:tcPr>
          <w:p w14:paraId="7A0659B0">
            <w:r>
              <w:rPr>
                <w:rFonts w:hint="eastAsia"/>
                <w:lang w:val="en-US" w:eastAsia="zh-CN"/>
              </w:rPr>
              <w:t>本项目负责人必须具有5年以上的测评工作经验，且必须具备高级测评师证书。</w:t>
            </w:r>
          </w:p>
        </w:tc>
      </w:tr>
      <w:tr w14:paraId="6D5E17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80" w:type="dxa"/>
            <w:tcBorders>
              <w:top w:val="single" w:color="auto" w:sz="4" w:space="0"/>
              <w:bottom w:val="single" w:color="auto" w:sz="4" w:space="0"/>
              <w:right w:val="single" w:color="auto" w:sz="4" w:space="0"/>
            </w:tcBorders>
            <w:vAlign w:val="center"/>
          </w:tcPr>
          <w:p w14:paraId="58780CB9">
            <w:pPr>
              <w:rPr>
                <w:rFonts w:hint="default" w:eastAsiaTheme="minorEastAsia"/>
                <w:lang w:val="en-US" w:eastAsia="zh-CN"/>
              </w:rPr>
            </w:pPr>
            <w:r>
              <w:rPr>
                <w:rFonts w:hint="eastAsia"/>
                <w:lang w:val="en-US" w:eastAsia="zh-CN"/>
              </w:rPr>
              <w:t>售后要求</w:t>
            </w:r>
          </w:p>
        </w:tc>
        <w:tc>
          <w:tcPr>
            <w:tcW w:w="7166" w:type="dxa"/>
            <w:tcBorders>
              <w:top w:val="single" w:color="auto" w:sz="4" w:space="0"/>
              <w:left w:val="single" w:color="auto" w:sz="4" w:space="0"/>
              <w:bottom w:val="single" w:color="auto" w:sz="4" w:space="0"/>
            </w:tcBorders>
            <w:vAlign w:val="center"/>
          </w:tcPr>
          <w:p w14:paraId="009E10EA">
            <w:pPr>
              <w:keepNext w:val="0"/>
              <w:keepLines w:val="0"/>
              <w:pageBreakBefore w:val="0"/>
              <w:kinsoku/>
              <w:wordWrap/>
              <w:overflowPunct/>
              <w:topLinePunct w:val="0"/>
              <w:autoSpaceDE/>
              <w:autoSpaceDN/>
              <w:bidi w:val="0"/>
              <w:snapToGrid w:val="0"/>
              <w:spacing w:line="240" w:lineRule="auto"/>
              <w:textAlignment w:val="auto"/>
            </w:pPr>
            <w:r>
              <w:rPr>
                <w:rFonts w:hint="eastAsia"/>
                <w:color w:val="auto"/>
                <w:highlight w:val="none"/>
                <w:lang w:eastAsia="zh-CN"/>
              </w:rPr>
              <w:t>成交供应商</w:t>
            </w:r>
            <w:r>
              <w:rPr>
                <w:rFonts w:hint="eastAsia"/>
                <w:color w:val="auto"/>
                <w:highlight w:val="none"/>
                <w:lang w:val="en-US" w:eastAsia="zh-CN"/>
              </w:rPr>
              <w:t>负有保密责任，需要与采购方签订保密承诺书；</w:t>
            </w:r>
            <w:r>
              <w:rPr>
                <w:rFonts w:hint="eastAsia"/>
                <w:lang w:val="en-US" w:eastAsia="zh-CN"/>
              </w:rPr>
              <w:t>项目验收通过之日起，要求提供为期一年的等保相关</w:t>
            </w:r>
            <w:r>
              <w:rPr>
                <w:rFonts w:hint="eastAsia"/>
                <w:highlight w:val="none"/>
                <w:lang w:val="en-US" w:eastAsia="zh-CN"/>
              </w:rPr>
              <w:t>的安全咨询服务，以保</w:t>
            </w:r>
            <w:r>
              <w:rPr>
                <w:rFonts w:hint="eastAsia"/>
                <w:lang w:val="en-US" w:eastAsia="zh-CN"/>
              </w:rPr>
              <w:t>证项目正常运行。</w:t>
            </w:r>
          </w:p>
        </w:tc>
      </w:tr>
      <w:tr w14:paraId="4E9EEB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80" w:type="dxa"/>
            <w:tcBorders>
              <w:top w:val="single" w:color="auto" w:sz="4" w:space="0"/>
              <w:bottom w:val="single" w:color="auto" w:sz="4" w:space="0"/>
              <w:right w:val="single" w:color="auto" w:sz="4" w:space="0"/>
            </w:tcBorders>
            <w:vAlign w:val="center"/>
          </w:tcPr>
          <w:p w14:paraId="62E43AA0">
            <w:pPr>
              <w:rPr>
                <w:rFonts w:hint="eastAsia"/>
                <w:lang w:val="en-US" w:eastAsia="zh-CN"/>
              </w:rPr>
            </w:pPr>
            <w:r>
              <w:rPr>
                <w:rFonts w:hint="eastAsia"/>
              </w:rPr>
              <w:t>培训要求</w:t>
            </w:r>
          </w:p>
        </w:tc>
        <w:tc>
          <w:tcPr>
            <w:tcW w:w="7166" w:type="dxa"/>
            <w:tcBorders>
              <w:top w:val="single" w:color="auto" w:sz="4" w:space="0"/>
              <w:left w:val="single" w:color="auto" w:sz="4" w:space="0"/>
              <w:bottom w:val="single" w:color="auto" w:sz="4" w:space="0"/>
            </w:tcBorders>
            <w:vAlign w:val="center"/>
          </w:tcPr>
          <w:p w14:paraId="56D17BC1">
            <w:pPr>
              <w:rPr>
                <w:rFonts w:hint="eastAsia" w:eastAsiaTheme="minorEastAsia"/>
                <w:lang w:val="en-US" w:eastAsia="zh-CN"/>
              </w:rPr>
            </w:pPr>
            <w:r>
              <w:rPr>
                <w:rFonts w:hint="eastAsia"/>
                <w:lang w:val="en-US" w:eastAsia="zh-CN"/>
              </w:rPr>
              <w:t>无</w:t>
            </w:r>
          </w:p>
        </w:tc>
      </w:tr>
      <w:tr w14:paraId="21B984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180" w:type="dxa"/>
            <w:tcBorders>
              <w:top w:val="single" w:color="auto" w:sz="4" w:space="0"/>
              <w:bottom w:val="single" w:color="auto" w:sz="4" w:space="0"/>
              <w:right w:val="single" w:color="auto" w:sz="4" w:space="0"/>
            </w:tcBorders>
            <w:vAlign w:val="center"/>
          </w:tcPr>
          <w:p w14:paraId="511EEC05">
            <w:r>
              <w:rPr>
                <w:rFonts w:hint="eastAsia"/>
              </w:rPr>
              <w:t>服务地点</w:t>
            </w:r>
          </w:p>
        </w:tc>
        <w:tc>
          <w:tcPr>
            <w:tcW w:w="7166" w:type="dxa"/>
            <w:tcBorders>
              <w:top w:val="single" w:color="auto" w:sz="4" w:space="0"/>
              <w:left w:val="single" w:color="auto" w:sz="4" w:space="0"/>
              <w:bottom w:val="single" w:color="auto" w:sz="4" w:space="0"/>
            </w:tcBorders>
            <w:vAlign w:val="center"/>
          </w:tcPr>
          <w:p w14:paraId="6ABCAE91">
            <w:r>
              <w:rPr>
                <w:rFonts w:hint="eastAsia"/>
                <w:lang w:val="en-US" w:eastAsia="zh-CN"/>
              </w:rPr>
              <w:t>浙江水利水电学院</w:t>
            </w:r>
          </w:p>
        </w:tc>
      </w:tr>
      <w:tr w14:paraId="721E4F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180" w:type="dxa"/>
            <w:tcBorders>
              <w:top w:val="single" w:color="auto" w:sz="4" w:space="0"/>
              <w:bottom w:val="single" w:color="auto" w:sz="4" w:space="0"/>
              <w:right w:val="single" w:color="auto" w:sz="4" w:space="0"/>
            </w:tcBorders>
            <w:vAlign w:val="center"/>
          </w:tcPr>
          <w:p w14:paraId="15D628B0">
            <w:pPr>
              <w:rPr>
                <w:rFonts w:hint="default" w:eastAsiaTheme="minorEastAsia"/>
                <w:lang w:val="en-US" w:eastAsia="zh-CN"/>
              </w:rPr>
            </w:pPr>
            <w:r>
              <w:rPr>
                <w:rFonts w:hint="eastAsia"/>
              </w:rPr>
              <w:t>验收</w:t>
            </w:r>
            <w:r>
              <w:t>标准</w:t>
            </w:r>
            <w:r>
              <w:rPr>
                <w:rFonts w:hint="eastAsia"/>
                <w:lang w:val="en-US" w:eastAsia="zh-CN"/>
              </w:rPr>
              <w:t>及要求</w:t>
            </w:r>
          </w:p>
        </w:tc>
        <w:tc>
          <w:tcPr>
            <w:tcW w:w="7166" w:type="dxa"/>
            <w:tcBorders>
              <w:top w:val="single" w:color="auto" w:sz="4" w:space="0"/>
              <w:left w:val="single" w:color="auto" w:sz="4" w:space="0"/>
              <w:bottom w:val="single" w:color="auto" w:sz="4" w:space="0"/>
            </w:tcBorders>
            <w:vAlign w:val="center"/>
          </w:tcPr>
          <w:p w14:paraId="77E3699F">
            <w:pPr>
              <w:keepNext w:val="0"/>
              <w:keepLines w:val="0"/>
              <w:pageBreakBefore w:val="0"/>
              <w:widowControl/>
              <w:numPr>
                <w:ilvl w:val="0"/>
                <w:numId w:val="1"/>
              </w:numPr>
              <w:kinsoku/>
              <w:wordWrap/>
              <w:overflowPunct/>
              <w:topLinePunct w:val="0"/>
              <w:autoSpaceDE/>
              <w:autoSpaceDN/>
              <w:bidi w:val="0"/>
              <w:adjustRightInd/>
              <w:snapToGrid/>
              <w:ind w:left="0" w:leftChars="0" w:firstLine="0" w:firstLineChars="0"/>
              <w:textAlignment w:val="auto"/>
            </w:pPr>
            <w:r>
              <w:rPr>
                <w:rFonts w:hint="eastAsia"/>
                <w:highlight w:val="none"/>
                <w:lang w:eastAsia="zh-CN"/>
              </w:rPr>
              <w:t>成交供应商</w:t>
            </w:r>
            <w:r>
              <w:rPr>
                <w:rFonts w:hint="eastAsia" w:asciiTheme="minorHAnsi" w:hAnsiTheme="minorHAnsi" w:eastAsiaTheme="minorEastAsia" w:cstheme="minorBidi"/>
                <w:sz w:val="21"/>
                <w:highlight w:val="none"/>
                <w:lang w:val="en-US" w:eastAsia="zh-CN"/>
              </w:rPr>
              <w:t>完成服务，交付</w:t>
            </w:r>
            <w:r>
              <w:rPr>
                <w:rFonts w:hint="eastAsia" w:asciiTheme="minorHAnsi" w:hAnsiTheme="minorHAnsi" w:eastAsiaTheme="minorEastAsia" w:cstheme="minorBidi"/>
                <w:b w:val="0"/>
                <w:bCs w:val="0"/>
                <w:kern w:val="2"/>
                <w:sz w:val="21"/>
                <w:szCs w:val="21"/>
                <w:lang w:val="en-US" w:eastAsia="zh-CN" w:bidi="ar-SA"/>
              </w:rPr>
              <w:t>教学科研、门户网站两大类系统</w:t>
            </w:r>
            <w:r>
              <w:rPr>
                <w:rFonts w:hint="eastAsia" w:asciiTheme="minorHAnsi" w:hAnsiTheme="minorHAnsi" w:eastAsiaTheme="minorEastAsia" w:cstheme="minorBidi"/>
                <w:sz w:val="21"/>
                <w:highlight w:val="none"/>
                <w:lang w:val="en-US" w:eastAsia="zh-CN"/>
              </w:rPr>
              <w:t>经公安机关备案的测评报告与整改建议书，</w:t>
            </w:r>
            <w:r>
              <w:rPr>
                <w:rFonts w:hint="eastAsia"/>
                <w:highlight w:val="none"/>
                <w:lang w:eastAsia="zh-CN"/>
              </w:rPr>
              <w:t>成交供应商</w:t>
            </w:r>
            <w:r>
              <w:rPr>
                <w:rFonts w:hint="eastAsia" w:asciiTheme="minorHAnsi" w:hAnsiTheme="minorHAnsi" w:eastAsiaTheme="minorEastAsia" w:cstheme="minorBidi"/>
                <w:b w:val="0"/>
                <w:bCs w:val="0"/>
                <w:kern w:val="2"/>
                <w:sz w:val="21"/>
                <w:szCs w:val="22"/>
                <w:highlight w:val="none"/>
                <w:lang w:val="en-US" w:eastAsia="zh-CN" w:bidi="ar-SA"/>
              </w:rPr>
              <w:t>即可发起项目验收申请。</w:t>
            </w:r>
          </w:p>
          <w:p w14:paraId="340240A8">
            <w:pPr>
              <w:keepNext w:val="0"/>
              <w:keepLines w:val="0"/>
              <w:pageBreakBefore w:val="0"/>
              <w:widowControl/>
              <w:numPr>
                <w:ilvl w:val="0"/>
                <w:numId w:val="1"/>
              </w:numPr>
              <w:kinsoku/>
              <w:wordWrap/>
              <w:overflowPunct/>
              <w:topLinePunct w:val="0"/>
              <w:autoSpaceDE/>
              <w:autoSpaceDN/>
              <w:bidi w:val="0"/>
              <w:adjustRightInd/>
              <w:snapToGrid/>
              <w:ind w:left="0" w:leftChars="0" w:firstLine="0" w:firstLineChars="0"/>
              <w:textAlignment w:val="auto"/>
            </w:pPr>
            <w:r>
              <w:rPr>
                <w:rFonts w:hint="eastAsia"/>
                <w:highlight w:val="none"/>
                <w:lang w:val="en-US" w:eastAsia="zh-CN"/>
              </w:rPr>
              <w:t>采购方</w:t>
            </w:r>
            <w:r>
              <w:rPr>
                <w:rFonts w:hint="eastAsia" w:asciiTheme="minorHAnsi" w:hAnsiTheme="minorHAnsi" w:eastAsiaTheme="minorEastAsia" w:cstheme="minorBidi"/>
                <w:b w:val="0"/>
                <w:bCs w:val="0"/>
                <w:color w:val="auto"/>
                <w:kern w:val="2"/>
                <w:sz w:val="21"/>
                <w:szCs w:val="22"/>
                <w:highlight w:val="none"/>
                <w:lang w:val="en-US" w:eastAsia="zh-CN" w:bidi="ar-SA"/>
              </w:rPr>
              <w:t>在收到</w:t>
            </w:r>
            <w:r>
              <w:rPr>
                <w:rFonts w:hint="eastAsia"/>
                <w:color w:val="auto"/>
                <w:highlight w:val="none"/>
                <w:lang w:eastAsia="zh-CN"/>
              </w:rPr>
              <w:t>成交供应商</w:t>
            </w:r>
            <w:r>
              <w:rPr>
                <w:rFonts w:hint="eastAsia" w:asciiTheme="minorHAnsi" w:hAnsiTheme="minorHAnsi" w:eastAsiaTheme="minorEastAsia" w:cstheme="minorBidi"/>
                <w:b w:val="0"/>
                <w:bCs w:val="0"/>
                <w:color w:val="auto"/>
                <w:kern w:val="2"/>
                <w:sz w:val="21"/>
                <w:szCs w:val="22"/>
                <w:highlight w:val="none"/>
                <w:lang w:val="en-US" w:eastAsia="zh-CN" w:bidi="ar-SA"/>
              </w:rPr>
              <w:t>的验收申请后负责组织验收，验收时</w:t>
            </w:r>
            <w:r>
              <w:rPr>
                <w:rFonts w:hint="eastAsia"/>
                <w:color w:val="auto"/>
                <w:highlight w:val="none"/>
                <w:lang w:eastAsia="zh-CN"/>
              </w:rPr>
              <w:t>成交供应商</w:t>
            </w:r>
            <w:r>
              <w:rPr>
                <w:rFonts w:hint="eastAsia" w:asciiTheme="minorHAnsi" w:hAnsiTheme="minorHAnsi" w:eastAsiaTheme="minorEastAsia" w:cstheme="minorBidi"/>
                <w:b w:val="0"/>
                <w:bCs w:val="0"/>
                <w:color w:val="auto"/>
                <w:kern w:val="2"/>
                <w:sz w:val="21"/>
                <w:szCs w:val="22"/>
                <w:highlight w:val="none"/>
                <w:lang w:val="en-US" w:eastAsia="zh-CN" w:bidi="ar-SA"/>
              </w:rPr>
              <w:t>需将服务项目的交付报告汇编成册，交付给</w:t>
            </w:r>
            <w:r>
              <w:rPr>
                <w:rFonts w:hint="eastAsia"/>
                <w:highlight w:val="none"/>
                <w:lang w:val="en-US" w:eastAsia="zh-CN"/>
              </w:rPr>
              <w:t>采购方</w:t>
            </w:r>
            <w:r>
              <w:rPr>
                <w:rFonts w:hint="eastAsia" w:asciiTheme="minorHAnsi" w:hAnsiTheme="minorHAnsi" w:eastAsiaTheme="minorEastAsia" w:cstheme="minorBidi"/>
                <w:b w:val="0"/>
                <w:bCs w:val="0"/>
                <w:color w:val="auto"/>
                <w:kern w:val="2"/>
                <w:sz w:val="21"/>
                <w:szCs w:val="22"/>
                <w:highlight w:val="none"/>
                <w:lang w:val="en-US" w:eastAsia="zh-CN" w:bidi="ar-SA"/>
              </w:rPr>
              <w:t>。</w:t>
            </w:r>
          </w:p>
        </w:tc>
      </w:tr>
      <w:tr w14:paraId="2FB7B5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180" w:type="dxa"/>
            <w:tcBorders>
              <w:top w:val="single" w:color="auto" w:sz="4" w:space="0"/>
              <w:bottom w:val="single" w:color="auto" w:sz="4" w:space="0"/>
              <w:right w:val="single" w:color="auto" w:sz="4" w:space="0"/>
            </w:tcBorders>
            <w:vAlign w:val="center"/>
          </w:tcPr>
          <w:p w14:paraId="2253FF99">
            <w:pPr>
              <w:rPr>
                <w:rFonts w:hint="eastAsia"/>
              </w:rPr>
            </w:pPr>
            <w:bookmarkStart w:id="4" w:name="OLE_LINK3" w:colFirst="0" w:colLast="0"/>
            <w:r>
              <w:rPr>
                <w:rFonts w:hint="eastAsia"/>
              </w:rPr>
              <w:t>供应商资信及履约要求</w:t>
            </w:r>
          </w:p>
        </w:tc>
        <w:tc>
          <w:tcPr>
            <w:tcW w:w="7166" w:type="dxa"/>
            <w:tcBorders>
              <w:top w:val="single" w:color="auto" w:sz="4" w:space="0"/>
              <w:left w:val="single" w:color="auto" w:sz="4" w:space="0"/>
              <w:bottom w:val="single" w:color="auto" w:sz="4" w:space="0"/>
            </w:tcBorders>
            <w:vAlign w:val="center"/>
          </w:tcPr>
          <w:p w14:paraId="1EBA2362">
            <w:pPr>
              <w:keepNext w:val="0"/>
              <w:keepLines w:val="0"/>
              <w:pageBreakBefore w:val="0"/>
              <w:widowControl/>
              <w:numPr>
                <w:ilvl w:val="0"/>
                <w:numId w:val="2"/>
              </w:numPr>
              <w:kinsoku/>
              <w:wordWrap/>
              <w:overflowPunct/>
              <w:topLinePunct w:val="0"/>
              <w:autoSpaceDE/>
              <w:autoSpaceDN/>
              <w:bidi w:val="0"/>
              <w:adjustRightInd/>
              <w:snapToGrid/>
              <w:ind w:leftChars="0"/>
              <w:textAlignment w:val="auto"/>
              <w:rPr>
                <w:rFonts w:hint="eastAsia" w:asciiTheme="minorHAnsi" w:hAnsiTheme="minorHAnsi" w:eastAsiaTheme="minorEastAsia" w:cstheme="minorBidi"/>
                <w:b w:val="0"/>
                <w:bCs w:val="0"/>
                <w:color w:val="auto"/>
                <w:kern w:val="2"/>
                <w:sz w:val="21"/>
                <w:szCs w:val="22"/>
                <w:highlight w:val="none"/>
                <w:lang w:val="en-US" w:eastAsia="zh-CN" w:bidi="ar-SA"/>
              </w:rPr>
            </w:pPr>
            <w:r>
              <w:rPr>
                <w:rFonts w:hint="eastAsia" w:asciiTheme="minorHAnsi" w:hAnsiTheme="minorHAnsi" w:eastAsiaTheme="minorEastAsia" w:cstheme="minorBidi"/>
                <w:b w:val="0"/>
                <w:bCs w:val="0"/>
                <w:color w:val="auto"/>
                <w:kern w:val="2"/>
                <w:sz w:val="21"/>
                <w:szCs w:val="22"/>
                <w:highlight w:val="none"/>
                <w:lang w:val="en-US" w:eastAsia="zh-CN" w:bidi="ar-SA"/>
              </w:rPr>
              <w:t>在中华人民共和国境内注册，具有独立法人资格</w:t>
            </w:r>
            <w:r>
              <w:rPr>
                <w:rFonts w:hint="eastAsia" w:cstheme="minorBidi"/>
                <w:b w:val="0"/>
                <w:bCs w:val="0"/>
                <w:color w:val="auto"/>
                <w:kern w:val="2"/>
                <w:sz w:val="21"/>
                <w:szCs w:val="22"/>
                <w:highlight w:val="none"/>
                <w:lang w:val="en-US" w:eastAsia="zh-CN" w:bidi="ar-SA"/>
              </w:rPr>
              <w:t>和</w:t>
            </w:r>
            <w:r>
              <w:rPr>
                <w:rFonts w:hint="eastAsia" w:asciiTheme="minorHAnsi" w:hAnsiTheme="minorHAnsi" w:eastAsiaTheme="minorEastAsia" w:cstheme="minorBidi"/>
                <w:b w:val="0"/>
                <w:bCs w:val="0"/>
                <w:color w:val="auto"/>
                <w:kern w:val="2"/>
                <w:sz w:val="21"/>
                <w:szCs w:val="22"/>
                <w:highlight w:val="none"/>
                <w:lang w:val="en-US" w:eastAsia="zh-CN" w:bidi="ar-SA"/>
              </w:rPr>
              <w:t>独立承担民事责任的能力；</w:t>
            </w:r>
          </w:p>
          <w:p w14:paraId="3803B58D">
            <w:pPr>
              <w:keepNext w:val="0"/>
              <w:keepLines w:val="0"/>
              <w:pageBreakBefore w:val="0"/>
              <w:widowControl/>
              <w:numPr>
                <w:ilvl w:val="0"/>
                <w:numId w:val="2"/>
              </w:numPr>
              <w:kinsoku/>
              <w:wordWrap/>
              <w:overflowPunct/>
              <w:topLinePunct w:val="0"/>
              <w:autoSpaceDE/>
              <w:autoSpaceDN/>
              <w:bidi w:val="0"/>
              <w:adjustRightInd/>
              <w:snapToGrid/>
              <w:ind w:leftChars="0"/>
              <w:textAlignment w:val="auto"/>
            </w:pPr>
            <w:r>
              <w:rPr>
                <w:rFonts w:hint="eastAsia" w:asciiTheme="minorHAnsi" w:hAnsiTheme="minorHAnsi" w:eastAsiaTheme="minorEastAsia" w:cstheme="minorBidi"/>
                <w:b w:val="0"/>
                <w:bCs w:val="0"/>
                <w:color w:val="auto"/>
                <w:kern w:val="2"/>
                <w:sz w:val="21"/>
                <w:szCs w:val="22"/>
                <w:highlight w:val="none"/>
                <w:lang w:val="en-US" w:eastAsia="zh-CN" w:bidi="ar-SA"/>
              </w:rPr>
              <w:t>具有公安部第三研究所颁发的《网络安全等级测评与检测评估机构服务认证证书》；</w:t>
            </w:r>
          </w:p>
        </w:tc>
      </w:tr>
      <w:tr w14:paraId="7E0982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180" w:type="dxa"/>
            <w:tcBorders>
              <w:top w:val="single" w:color="auto" w:sz="4" w:space="0"/>
              <w:bottom w:val="single" w:color="auto" w:sz="4" w:space="0"/>
              <w:right w:val="single" w:color="auto" w:sz="4" w:space="0"/>
            </w:tcBorders>
            <w:vAlign w:val="center"/>
          </w:tcPr>
          <w:p w14:paraId="6FABC655">
            <w:pPr>
              <w:rPr>
                <w:rFonts w:hint="eastAsia"/>
              </w:rPr>
            </w:pPr>
            <w:r>
              <w:rPr>
                <w:rFonts w:hint="eastAsia"/>
              </w:rPr>
              <w:t>违约责任</w:t>
            </w:r>
          </w:p>
        </w:tc>
        <w:tc>
          <w:tcPr>
            <w:tcW w:w="7166" w:type="dxa"/>
            <w:tcBorders>
              <w:top w:val="single" w:color="auto" w:sz="4" w:space="0"/>
              <w:left w:val="single" w:color="auto" w:sz="4" w:space="0"/>
              <w:bottom w:val="single" w:color="auto" w:sz="4" w:space="0"/>
            </w:tcBorders>
            <w:vAlign w:val="center"/>
          </w:tcPr>
          <w:p w14:paraId="183B8D56">
            <w:pPr>
              <w:numPr>
                <w:ilvl w:val="0"/>
                <w:numId w:val="3"/>
              </w:numPr>
              <w:ind w:left="0" w:leftChars="0" w:firstLine="0" w:firstLineChars="0"/>
              <w:rPr>
                <w:rFonts w:hint="eastAsia"/>
                <w:highlight w:val="none"/>
                <w:lang w:val="en-US" w:eastAsia="zh-CN"/>
              </w:rPr>
            </w:pPr>
            <w:r>
              <w:rPr>
                <w:rFonts w:hint="eastAsia"/>
                <w:highlight w:val="none"/>
                <w:lang w:val="en-US" w:eastAsia="zh-CN"/>
              </w:rPr>
              <w:t>采购方无故逾期付款的，应按逾期付款金额的万分之五每日支付违约金。</w:t>
            </w:r>
          </w:p>
          <w:p w14:paraId="6F958C3F">
            <w:pPr>
              <w:numPr>
                <w:ilvl w:val="0"/>
                <w:numId w:val="3"/>
              </w:numPr>
              <w:ind w:left="0" w:leftChars="0" w:firstLine="0" w:firstLineChars="0"/>
              <w:rPr>
                <w:rFonts w:hint="eastAsia"/>
                <w:highlight w:val="none"/>
                <w:lang w:val="en-US" w:eastAsia="zh-CN"/>
              </w:rPr>
            </w:pPr>
            <w:r>
              <w:rPr>
                <w:rFonts w:hint="eastAsia"/>
                <w:highlight w:val="none"/>
                <w:lang w:val="en-US" w:eastAsia="zh-CN"/>
              </w:rPr>
              <w:t>成交供应商逾期履行合同义务的，应按合同总价款的千分之六每日（或每次）支付违约金。成交供应商逾期10日（或3次）及以上履行合同义务的，采购方有权解除本合同，拒付合同价款和要求成交供应商退还已收全款，同时成交供应商应按合同总价款的20％向采购方支付违约金，造成采购方损失的，成交供应商应承担赔偿责任。</w:t>
            </w:r>
          </w:p>
          <w:p w14:paraId="7D639F7D">
            <w:pPr>
              <w:numPr>
                <w:ilvl w:val="0"/>
                <w:numId w:val="3"/>
              </w:numPr>
              <w:ind w:left="0" w:leftChars="0" w:firstLine="0" w:firstLineChars="0"/>
              <w:rPr>
                <w:rFonts w:hint="eastAsia"/>
                <w:highlight w:val="none"/>
                <w:lang w:val="en-US" w:eastAsia="zh-CN"/>
              </w:rPr>
            </w:pPr>
            <w:r>
              <w:rPr>
                <w:rFonts w:hint="eastAsia"/>
                <w:highlight w:val="none"/>
                <w:lang w:val="en-US" w:eastAsia="zh-CN"/>
              </w:rPr>
              <w:t>因成交供应商其他违约行为导致采购方解除合同的，成交供应商应向采购方支付合同总价款20%的违约金，如造成采购方损失超过违约金的，超出部分由成交供应商继续承担赔偿责任。</w:t>
            </w:r>
          </w:p>
          <w:p w14:paraId="05DAF6AC">
            <w:pPr>
              <w:numPr>
                <w:ilvl w:val="0"/>
                <w:numId w:val="3"/>
              </w:numPr>
              <w:ind w:left="0" w:leftChars="0" w:firstLine="0" w:firstLineChars="0"/>
              <w:rPr>
                <w:rFonts w:hint="eastAsia"/>
                <w:highlight w:val="none"/>
                <w:lang w:val="en-US" w:eastAsia="zh-CN"/>
              </w:rPr>
            </w:pPr>
            <w:r>
              <w:rPr>
                <w:rFonts w:hint="eastAsia"/>
                <w:highlight w:val="none"/>
                <w:lang w:val="en-US" w:eastAsia="zh-CN"/>
              </w:rPr>
              <w:t>除本合同另有约定除外，成交供应商逾期履行合同义务，应向采购方支付合同总价的万分之五每天的违约金，逾期20天以上的，采购方有权解除合同，并有权要求成交供应商退还已收款项，支付合同总价20%的违约金。</w:t>
            </w:r>
          </w:p>
          <w:p w14:paraId="56AF5C26">
            <w:r>
              <w:rPr>
                <w:rFonts w:hint="eastAsia"/>
                <w:highlight w:val="none"/>
                <w:lang w:val="en-US" w:eastAsia="zh-CN"/>
              </w:rPr>
              <w:t>成交供应商履行本合同侵犯第三方著作权的，成交供应商应承担包括但不限于侵权赔偿款、向采购方退还全部合同价款、向采购方支付合同总价20%的违约金、承担因诉讼（仲裁）支出的诉讼（仲裁）费、律师费等责任。</w:t>
            </w:r>
          </w:p>
        </w:tc>
      </w:tr>
      <w:bookmarkEnd w:id="4"/>
      <w:tr w14:paraId="6714D8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180" w:type="dxa"/>
            <w:tcBorders>
              <w:top w:val="single" w:color="auto" w:sz="4" w:space="0"/>
              <w:bottom w:val="single" w:color="auto" w:sz="4" w:space="0"/>
              <w:right w:val="single" w:color="auto" w:sz="4" w:space="0"/>
            </w:tcBorders>
            <w:vAlign w:val="center"/>
          </w:tcPr>
          <w:p w14:paraId="0BCD06B3">
            <w:pPr>
              <w:rPr>
                <w:rFonts w:hint="eastAsia"/>
              </w:rPr>
            </w:pPr>
            <w:r>
              <w:rPr>
                <w:rFonts w:hint="eastAsia"/>
              </w:rPr>
              <w:t>付款方式</w:t>
            </w:r>
          </w:p>
        </w:tc>
        <w:tc>
          <w:tcPr>
            <w:tcW w:w="7166" w:type="dxa"/>
            <w:tcBorders>
              <w:top w:val="single" w:color="auto" w:sz="4" w:space="0"/>
              <w:left w:val="single" w:color="auto" w:sz="4" w:space="0"/>
              <w:bottom w:val="single" w:color="auto" w:sz="4" w:space="0"/>
            </w:tcBorders>
            <w:vAlign w:val="center"/>
          </w:tcPr>
          <w:p w14:paraId="39207D23">
            <w:pPr>
              <w:numPr>
                <w:ilvl w:val="0"/>
                <w:numId w:val="4"/>
              </w:numPr>
              <w:ind w:left="0" w:leftChars="0" w:firstLine="0" w:firstLineChars="0"/>
              <w:rPr>
                <w:rFonts w:hint="eastAsia"/>
                <w:highlight w:val="none"/>
                <w:lang w:val="en-US" w:eastAsia="zh-CN"/>
              </w:rPr>
            </w:pPr>
            <w:r>
              <w:rPr>
                <w:rFonts w:hint="eastAsia"/>
                <w:highlight w:val="none"/>
                <w:lang w:val="en-US" w:eastAsia="zh-CN"/>
              </w:rPr>
              <w:t>成交供应商完成服务，交付</w:t>
            </w:r>
            <w:r>
              <w:rPr>
                <w:rFonts w:hint="eastAsia" w:asciiTheme="minorHAnsi" w:hAnsiTheme="minorHAnsi" w:eastAsiaTheme="minorEastAsia" w:cstheme="minorBidi"/>
                <w:b w:val="0"/>
                <w:bCs w:val="0"/>
                <w:kern w:val="2"/>
                <w:sz w:val="21"/>
                <w:szCs w:val="21"/>
                <w:lang w:val="en-US" w:eastAsia="zh-CN" w:bidi="ar-SA"/>
              </w:rPr>
              <w:t>教学科研、门户网站两大类系统</w:t>
            </w:r>
            <w:r>
              <w:rPr>
                <w:rFonts w:hint="eastAsia"/>
                <w:highlight w:val="none"/>
                <w:lang w:val="en-US" w:eastAsia="zh-CN"/>
              </w:rPr>
              <w:t>经公安机关备案的测评报告与整改建议书，并经采购方验收合格后，采购方在完成审批流程后的7个工作日内向成交供应商支付合同总额的100%。</w:t>
            </w:r>
          </w:p>
          <w:p w14:paraId="0C4BFC7E">
            <w:pPr>
              <w:numPr>
                <w:ilvl w:val="0"/>
                <w:numId w:val="4"/>
              </w:numPr>
              <w:ind w:left="0" w:leftChars="0" w:firstLine="0" w:firstLineChars="0"/>
            </w:pPr>
            <w:r>
              <w:rPr>
                <w:rFonts w:hint="eastAsia"/>
                <w:highlight w:val="none"/>
                <w:lang w:val="en-US" w:eastAsia="zh-CN"/>
              </w:rPr>
              <w:t>成交供应商应在采购方付款前，依据采购方提供的相关信息开具等额的税务正式发票给采购方。成交供应商延期提供发票的，采购方有权顺延支付价款。</w:t>
            </w:r>
          </w:p>
        </w:tc>
      </w:tr>
      <w:tr w14:paraId="4792F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1180" w:type="dxa"/>
            <w:tcBorders>
              <w:top w:val="single" w:color="auto" w:sz="4" w:space="0"/>
              <w:bottom w:val="single" w:color="auto" w:sz="4" w:space="0"/>
              <w:right w:val="single" w:color="auto" w:sz="4" w:space="0"/>
            </w:tcBorders>
            <w:vAlign w:val="center"/>
          </w:tcPr>
          <w:p w14:paraId="625C4FCF">
            <w:pPr>
              <w:rPr>
                <w:rFonts w:hint="eastAsia"/>
              </w:rPr>
            </w:pPr>
            <w:r>
              <w:rPr>
                <w:rFonts w:hint="eastAsia"/>
              </w:rPr>
              <w:t>履约保证金</w:t>
            </w:r>
          </w:p>
        </w:tc>
        <w:tc>
          <w:tcPr>
            <w:tcW w:w="7166" w:type="dxa"/>
            <w:tcBorders>
              <w:top w:val="single" w:color="auto" w:sz="4" w:space="0"/>
              <w:left w:val="single" w:color="auto" w:sz="4" w:space="0"/>
              <w:bottom w:val="single" w:color="auto" w:sz="4" w:space="0"/>
            </w:tcBorders>
            <w:vAlign w:val="center"/>
          </w:tcPr>
          <w:p w14:paraId="5CA78FD4">
            <w:pPr>
              <w:rPr>
                <w:rFonts w:hint="eastAsia" w:eastAsiaTheme="minorEastAsia"/>
                <w:lang w:val="en-US" w:eastAsia="zh-CN"/>
              </w:rPr>
            </w:pPr>
            <w:r>
              <w:rPr>
                <w:rFonts w:hint="eastAsia"/>
                <w:lang w:val="en-US" w:eastAsia="zh-CN"/>
              </w:rPr>
              <w:t>无</w:t>
            </w:r>
          </w:p>
        </w:tc>
      </w:tr>
    </w:tbl>
    <w:p w14:paraId="20C87F50">
      <w:bookmarkStart w:id="5" w:name="_Toc7858"/>
      <w:bookmarkStart w:id="6" w:name="_Toc432621837"/>
      <w:bookmarkStart w:id="7" w:name="_Toc18877"/>
      <w:bookmarkStart w:id="8" w:name="_Toc417054391"/>
      <w:bookmarkStart w:id="9" w:name="_Toc417054474"/>
    </w:p>
    <w:p w14:paraId="4A60EB1D">
      <w:pPr>
        <w:rPr>
          <w:b/>
          <w:highlight w:val="none"/>
        </w:rPr>
      </w:pPr>
      <w:r>
        <w:rPr>
          <w:rFonts w:hint="eastAsia"/>
          <w:b/>
          <w:highlight w:val="none"/>
          <w:lang w:val="en-US" w:eastAsia="zh-CN"/>
        </w:rPr>
        <w:t>四</w:t>
      </w:r>
      <w:r>
        <w:rPr>
          <w:rFonts w:hint="eastAsia"/>
          <w:b/>
          <w:highlight w:val="none"/>
        </w:rPr>
        <w:t>、重要说明</w:t>
      </w:r>
      <w:bookmarkEnd w:id="5"/>
      <w:bookmarkEnd w:id="6"/>
      <w:bookmarkEnd w:id="7"/>
      <w:bookmarkEnd w:id="8"/>
      <w:bookmarkEnd w:id="9"/>
    </w:p>
    <w:p w14:paraId="08352893">
      <w:pPr>
        <w:rPr>
          <w:highlight w:val="none"/>
        </w:rPr>
      </w:pPr>
      <w:r>
        <w:rPr>
          <w:rFonts w:hint="eastAsia"/>
          <w:highlight w:val="none"/>
        </w:rPr>
        <w:t>1.</w:t>
      </w:r>
      <w:r>
        <w:rPr>
          <w:highlight w:val="none"/>
        </w:rPr>
        <w:t xml:space="preserve"> </w:t>
      </w:r>
      <w:r>
        <w:rPr>
          <w:rFonts w:hint="eastAsia"/>
          <w:highlight w:val="none"/>
        </w:rPr>
        <w:t>供应商必须根据采购人提供的信息予以响应，质量必须达到或高于采购的要求。</w:t>
      </w:r>
    </w:p>
    <w:p w14:paraId="0F986E58">
      <w:pPr>
        <w:rPr>
          <w:highlight w:val="none"/>
        </w:rPr>
      </w:pPr>
      <w:r>
        <w:rPr>
          <w:rFonts w:hint="eastAsia"/>
          <w:highlight w:val="none"/>
          <w:lang w:val="en-US" w:eastAsia="zh-CN"/>
        </w:rPr>
        <w:t>2</w:t>
      </w:r>
      <w:r>
        <w:rPr>
          <w:rFonts w:hint="eastAsia"/>
          <w:highlight w:val="none"/>
        </w:rPr>
        <w:t>. 供应商提供的</w:t>
      </w:r>
      <w:r>
        <w:rPr>
          <w:rFonts w:hint="eastAsia"/>
          <w:highlight w:val="none"/>
          <w:lang w:val="en-US" w:eastAsia="zh-CN"/>
        </w:rPr>
        <w:t>服务</w:t>
      </w:r>
      <w:r>
        <w:rPr>
          <w:rFonts w:hint="eastAsia"/>
          <w:highlight w:val="none"/>
        </w:rPr>
        <w:t>在使用过程中因质量问题影响采购人的正常使用，要负相应责任，并向采购人赔偿损失，采购人有权向相关管理部门进行投诉。</w:t>
      </w:r>
    </w:p>
    <w:p w14:paraId="60FD1170">
      <w:pPr>
        <w:rPr>
          <w:highlight w:val="none"/>
        </w:rPr>
      </w:pPr>
      <w:r>
        <w:rPr>
          <w:rFonts w:hint="eastAsia"/>
          <w:highlight w:val="none"/>
          <w:lang w:val="en-US" w:eastAsia="zh-CN"/>
        </w:rPr>
        <w:t>3</w:t>
      </w:r>
      <w:r>
        <w:rPr>
          <w:rFonts w:hint="eastAsia"/>
          <w:highlight w:val="none"/>
        </w:rPr>
        <w:t>. 供应商须保证所提供的</w:t>
      </w:r>
      <w:r>
        <w:rPr>
          <w:rFonts w:hint="eastAsia"/>
          <w:highlight w:val="none"/>
          <w:lang w:val="en-US" w:eastAsia="zh-CN"/>
        </w:rPr>
        <w:t>服务</w:t>
      </w:r>
      <w:r>
        <w:rPr>
          <w:rFonts w:hint="eastAsia"/>
          <w:highlight w:val="none"/>
        </w:rPr>
        <w:t>包括相关附件</w:t>
      </w:r>
      <w:r>
        <w:rPr>
          <w:rFonts w:hint="eastAsia"/>
          <w:highlight w:val="none"/>
          <w:lang w:val="en-US" w:eastAsia="zh-CN"/>
        </w:rPr>
        <w:t>应</w:t>
      </w:r>
      <w:r>
        <w:rPr>
          <w:rFonts w:hint="eastAsia"/>
          <w:highlight w:val="none"/>
        </w:rPr>
        <w:t>符合国家有关规定</w:t>
      </w:r>
      <w:r>
        <w:rPr>
          <w:rFonts w:hint="eastAsia"/>
          <w:highlight w:val="none"/>
          <w:lang w:eastAsia="zh-CN"/>
        </w:rPr>
        <w:t>，</w:t>
      </w:r>
      <w:r>
        <w:rPr>
          <w:rFonts w:hint="eastAsia"/>
          <w:highlight w:val="none"/>
        </w:rPr>
        <w:t>应由供应商负责，采购人不承担责任。</w:t>
      </w:r>
    </w:p>
    <w:p w14:paraId="3E706FA9"/>
    <w:p w14:paraId="5339323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C235D1"/>
    <w:multiLevelType w:val="singleLevel"/>
    <w:tmpl w:val="D1C235D1"/>
    <w:lvl w:ilvl="0" w:tentative="0">
      <w:start w:val="1"/>
      <w:numFmt w:val="decimal"/>
      <w:lvlText w:val="%1."/>
      <w:lvlJc w:val="left"/>
      <w:pPr>
        <w:tabs>
          <w:tab w:val="left" w:pos="312"/>
        </w:tabs>
      </w:pPr>
    </w:lvl>
  </w:abstractNum>
  <w:abstractNum w:abstractNumId="1">
    <w:nsid w:val="EE31EBB2"/>
    <w:multiLevelType w:val="singleLevel"/>
    <w:tmpl w:val="EE31EBB2"/>
    <w:lvl w:ilvl="0" w:tentative="0">
      <w:start w:val="1"/>
      <w:numFmt w:val="decimal"/>
      <w:lvlText w:val="%1."/>
      <w:lvlJc w:val="left"/>
      <w:pPr>
        <w:tabs>
          <w:tab w:val="left" w:pos="312"/>
        </w:tabs>
      </w:pPr>
    </w:lvl>
  </w:abstractNum>
  <w:abstractNum w:abstractNumId="2">
    <w:nsid w:val="F3068553"/>
    <w:multiLevelType w:val="singleLevel"/>
    <w:tmpl w:val="F3068553"/>
    <w:lvl w:ilvl="0" w:tentative="0">
      <w:start w:val="1"/>
      <w:numFmt w:val="decimal"/>
      <w:lvlText w:val="%1."/>
      <w:lvlJc w:val="left"/>
      <w:pPr>
        <w:tabs>
          <w:tab w:val="left" w:pos="312"/>
        </w:tabs>
      </w:pPr>
    </w:lvl>
  </w:abstractNum>
  <w:abstractNum w:abstractNumId="3">
    <w:nsid w:val="3112D56C"/>
    <w:multiLevelType w:val="singleLevel"/>
    <w:tmpl w:val="3112D56C"/>
    <w:lvl w:ilvl="0" w:tentative="0">
      <w:start w:val="1"/>
      <w:numFmt w:val="decimal"/>
      <w:lvlText w:val="%1."/>
      <w:lvlJc w:val="left"/>
      <w:pPr>
        <w:tabs>
          <w:tab w:val="left" w:pos="312"/>
        </w:tabs>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65B"/>
    <w:rsid w:val="00151708"/>
    <w:rsid w:val="001E56B1"/>
    <w:rsid w:val="002125BD"/>
    <w:rsid w:val="00213F06"/>
    <w:rsid w:val="00240D5E"/>
    <w:rsid w:val="00255CF9"/>
    <w:rsid w:val="003F0BCB"/>
    <w:rsid w:val="00590FA6"/>
    <w:rsid w:val="005E550C"/>
    <w:rsid w:val="00794646"/>
    <w:rsid w:val="0084003E"/>
    <w:rsid w:val="0087054C"/>
    <w:rsid w:val="008A4934"/>
    <w:rsid w:val="008F3DBB"/>
    <w:rsid w:val="00A02E7B"/>
    <w:rsid w:val="00B43932"/>
    <w:rsid w:val="00BC5439"/>
    <w:rsid w:val="00ED22B8"/>
    <w:rsid w:val="00F3465B"/>
    <w:rsid w:val="081C4DA3"/>
    <w:rsid w:val="0C5A11D3"/>
    <w:rsid w:val="0E4D676D"/>
    <w:rsid w:val="1A2972BB"/>
    <w:rsid w:val="1EB31B66"/>
    <w:rsid w:val="246B6A3F"/>
    <w:rsid w:val="2A2C0C32"/>
    <w:rsid w:val="30B11C7D"/>
    <w:rsid w:val="325374E4"/>
    <w:rsid w:val="34367C93"/>
    <w:rsid w:val="3CDD65DE"/>
    <w:rsid w:val="474A667D"/>
    <w:rsid w:val="49D63469"/>
    <w:rsid w:val="4B5C3ACC"/>
    <w:rsid w:val="57231525"/>
    <w:rsid w:val="58F205F0"/>
    <w:rsid w:val="5B0A5F16"/>
    <w:rsid w:val="5D1C2B90"/>
    <w:rsid w:val="6E117ECB"/>
    <w:rsid w:val="71867FE1"/>
    <w:rsid w:val="756C5FC0"/>
    <w:rsid w:val="75B70F15"/>
    <w:rsid w:val="76F44A2D"/>
    <w:rsid w:val="7C0641F8"/>
    <w:rsid w:val="A6B75550"/>
    <w:rsid w:val="FE77F7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2534</Words>
  <Characters>2578</Characters>
  <Lines>7</Lines>
  <Paragraphs>2</Paragraphs>
  <TotalTime>20</TotalTime>
  <ScaleCrop>false</ScaleCrop>
  <LinksUpToDate>false</LinksUpToDate>
  <CharactersWithSpaces>2582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2024-05-28T11:41:00Z</dcterms:created>
  <dc:creator>Dell</dc:creator>
  <cp:lastModifiedBy>青</cp:lastModifiedBy>
  <dcterms:modified xsi:type="dcterms:W3CDTF">2026-05-07T06:44:27Z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eyJoZGlkIjoiNmNlNmY5NDM2ZTgwMjMxNjc3OTE5ZmM5NjlmMTE2YWMiLCJ1c2VySWQiOiI2NDY0MzU1NzMifQ==</vt:lpwstr>
  </property>
  <property fmtid="{D5CDD505-2E9C-101B-9397-08002B2CF9AE}" pid="3" name="KSOProductBuildVer">
    <vt:lpwstr>2052-12.1.0.25865</vt:lpwstr>
  </property>
  <property fmtid="{D5CDD505-2E9C-101B-9397-08002B2CF9AE}" pid="4" name="ICV">
    <vt:lpwstr>6E0B59CA35A94B19AE3C34E18E394083_13</vt:lpwstr>
  </property>
</Properties>
</file>