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采购需求（服务类）</w:t>
      </w:r>
    </w:p>
    <w:p>
      <w:pPr>
        <w:rPr>
          <w:rFonts w:hint="eastAsia"/>
          <w:b/>
        </w:rPr>
      </w:pPr>
      <w:bookmarkStart w:id="0" w:name="OLE_LINK1"/>
      <w:r>
        <w:rPr>
          <w:b/>
        </w:rPr>
        <w:t>一、概况</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hint="eastAsia"/>
                <w:b/>
                <w:bCs/>
              </w:rPr>
            </w:pPr>
            <w:r>
              <w:rPr>
                <w:b/>
                <w:bCs/>
              </w:rPr>
              <w:t>项目名称</w:t>
            </w:r>
          </w:p>
        </w:tc>
        <w:tc>
          <w:tcPr>
            <w:tcW w:w="6458" w:type="dxa"/>
          </w:tcPr>
          <w:p>
            <w:pPr>
              <w:pStyle w:val="2"/>
              <w:ind w:left="0" w:leftChars="0" w:firstLine="0" w:firstLineChars="0"/>
              <w:rPr>
                <w:rFonts w:hint="eastAsia"/>
              </w:rPr>
            </w:pPr>
            <w:bookmarkStart w:id="10" w:name="_GoBack"/>
            <w:bookmarkEnd w:id="10"/>
            <w:r>
              <w:rPr>
                <w:rFonts w:hint="eastAsia"/>
              </w:rPr>
              <w:t>钱塘校区数据中心基础设施运维服务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hint="eastAsia"/>
                <w:b/>
                <w:bCs/>
              </w:rPr>
            </w:pPr>
            <w:r>
              <w:rPr>
                <w:rFonts w:hint="eastAsia"/>
                <w:b/>
                <w:bCs/>
              </w:rPr>
              <w:t>项目描述</w:t>
            </w:r>
          </w:p>
        </w:tc>
        <w:tc>
          <w:tcPr>
            <w:tcW w:w="6458" w:type="dxa"/>
          </w:tcPr>
          <w:p>
            <w:pPr>
              <w:rPr>
                <w:rFonts w:hint="eastAsia"/>
              </w:rPr>
            </w:pPr>
            <w:r>
              <w:rPr>
                <w:rFonts w:hint="eastAsia"/>
              </w:rPr>
              <w:t>浙江水利水电学院钱塘校区数据中心机房于2017年建成，包括精密空调系统、UPS系统、新风系统、供配电系统、防雷接地系统、综合布线系统、综合机柜系统、门禁系统、视频监控系统、集中监控系统、机房环境监控系统、气体消防等系统，有效支持了学校的安全、稳定运行。由于浙江水利水电学院钱塘校区数据中心机房建成已超过9年，设备设施均已过保，且部分设备存在老化风险。为了规范化运维、标准化管理，保障浙江水利水电学院钱塘校区数据中心机房基础设施安全稳定运行，特此采购数据中心运维保障服务。</w:t>
            </w:r>
          </w:p>
          <w:p>
            <w:pPr>
              <w:rPr>
                <w:rFonts w:hint="eastAsia"/>
              </w:rPr>
            </w:pPr>
            <w:r>
              <w:rPr>
                <w:rFonts w:hint="eastAsia"/>
              </w:rPr>
              <w:t>机房主要基础设施设备情况如附录1所示。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hint="eastAsia"/>
                <w:b/>
                <w:bCs/>
              </w:rPr>
            </w:pPr>
            <w:r>
              <w:rPr>
                <w:rFonts w:hint="eastAsia"/>
                <w:b/>
                <w:bCs/>
              </w:rPr>
              <w:t>预算金额（万）</w:t>
            </w:r>
          </w:p>
        </w:tc>
        <w:tc>
          <w:tcPr>
            <w:tcW w:w="6458" w:type="dxa"/>
          </w:tcPr>
          <w:p>
            <w:pPr>
              <w:rPr>
                <w:rFonts w:hint="eastAsia"/>
              </w:rPr>
            </w:pP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hint="eastAsia"/>
                <w:b/>
                <w:bCs/>
              </w:rPr>
            </w:pPr>
            <w:r>
              <w:rPr>
                <w:rFonts w:hint="eastAsia"/>
                <w:b/>
                <w:bCs/>
              </w:rPr>
              <w:t>服务期</w:t>
            </w:r>
          </w:p>
        </w:tc>
        <w:tc>
          <w:tcPr>
            <w:tcW w:w="6458" w:type="dxa"/>
          </w:tcPr>
          <w:p>
            <w:pPr>
              <w:rPr>
                <w:rFonts w:hint="eastAsia"/>
              </w:rPr>
            </w:pPr>
            <w:r>
              <w:rPr>
                <w:rFonts w:hint="eastAsia"/>
              </w:rPr>
              <w:t>本项目服务周期从合同签订之日起一年。</w:t>
            </w:r>
          </w:p>
        </w:tc>
      </w:tr>
      <w:bookmarkEnd w:id="0"/>
    </w:tbl>
    <w:p>
      <w:pPr>
        <w:rPr>
          <w:rFonts w:hint="eastAsia"/>
          <w:b/>
        </w:rPr>
      </w:pPr>
      <w:bookmarkStart w:id="1" w:name="_Toc4514"/>
      <w:r>
        <w:rPr>
          <w:rFonts w:hint="eastAsia"/>
          <w:b/>
        </w:rPr>
        <w:t>二、</w:t>
      </w:r>
      <w:bookmarkEnd w:id="1"/>
      <w:r>
        <w:rPr>
          <w:rFonts w:hint="eastAsia"/>
          <w:b/>
        </w:rPr>
        <w:t>服务内容</w:t>
      </w:r>
    </w:p>
    <w:tbl>
      <w:tblPr>
        <w:tblStyle w:val="8"/>
        <w:tblW w:w="8316"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720"/>
        <w:gridCol w:w="58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pPr>
              <w:rPr>
                <w:rFonts w:hint="eastAsia"/>
              </w:rPr>
            </w:pPr>
            <w:bookmarkStart w:id="2" w:name="OLE_LINK2" w:colFirst="0" w:colLast="1"/>
            <w:r>
              <w:rPr>
                <w:rFonts w:hint="eastAsia"/>
              </w:rPr>
              <w:t>序号</w:t>
            </w:r>
          </w:p>
        </w:tc>
        <w:tc>
          <w:tcPr>
            <w:tcW w:w="1720" w:type="dxa"/>
            <w:tcBorders>
              <w:top w:val="single" w:color="auto" w:sz="4" w:space="0"/>
              <w:left w:val="single" w:color="auto" w:sz="4" w:space="0"/>
              <w:bottom w:val="single" w:color="auto" w:sz="4" w:space="0"/>
            </w:tcBorders>
            <w:vAlign w:val="center"/>
          </w:tcPr>
          <w:p>
            <w:pPr>
              <w:rPr>
                <w:rFonts w:hint="eastAsia"/>
              </w:rPr>
            </w:pPr>
            <w:r>
              <w:rPr>
                <w:rFonts w:hint="eastAsia"/>
              </w:rPr>
              <w:t>服务名称</w:t>
            </w:r>
          </w:p>
        </w:tc>
        <w:tc>
          <w:tcPr>
            <w:tcW w:w="5877" w:type="dxa"/>
            <w:tcBorders>
              <w:top w:val="single" w:color="auto" w:sz="4" w:space="0"/>
              <w:left w:val="single" w:color="auto" w:sz="4" w:space="0"/>
              <w:bottom w:val="single" w:color="auto" w:sz="4" w:space="0"/>
            </w:tcBorders>
            <w:vAlign w:val="center"/>
          </w:tcPr>
          <w:p>
            <w:pPr>
              <w:rPr>
                <w:rFonts w:hint="eastAsia"/>
              </w:rPr>
            </w:pPr>
            <w:r>
              <w:rPr>
                <w:rFonts w:hint="eastAsia"/>
              </w:rPr>
              <w:t>服务技术指标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pPr>
              <w:rPr>
                <w:rFonts w:hint="eastAsia"/>
              </w:rPr>
            </w:pPr>
            <w:bookmarkStart w:id="3" w:name="_Toc933"/>
            <w:r>
              <w:rPr>
                <w:rFonts w:hint="eastAsia"/>
              </w:rPr>
              <w:t>1</w:t>
            </w:r>
          </w:p>
        </w:tc>
        <w:tc>
          <w:tcPr>
            <w:tcW w:w="1720" w:type="dxa"/>
            <w:tcBorders>
              <w:top w:val="single" w:color="auto" w:sz="4" w:space="0"/>
              <w:left w:val="single" w:color="auto" w:sz="4" w:space="0"/>
              <w:bottom w:val="single" w:color="auto" w:sz="4" w:space="0"/>
            </w:tcBorders>
            <w:vAlign w:val="center"/>
          </w:tcPr>
          <w:p>
            <w:pPr>
              <w:rPr>
                <w:rFonts w:hint="eastAsia"/>
              </w:rPr>
            </w:pPr>
            <w:r>
              <w:rPr>
                <w:rFonts w:hint="eastAsia"/>
              </w:rPr>
              <w:t>设备维修服务（不限次数）</w:t>
            </w:r>
          </w:p>
        </w:tc>
        <w:tc>
          <w:tcPr>
            <w:tcW w:w="5877" w:type="dxa"/>
            <w:tcBorders>
              <w:top w:val="single" w:color="auto" w:sz="4" w:space="0"/>
              <w:left w:val="single" w:color="auto" w:sz="4" w:space="0"/>
              <w:bottom w:val="single" w:color="auto" w:sz="4" w:space="0"/>
            </w:tcBorders>
            <w:vAlign w:val="center"/>
          </w:tcPr>
          <w:p>
            <w:pPr>
              <w:rPr>
                <w:rFonts w:hint="eastAsia"/>
              </w:rPr>
            </w:pPr>
            <w:r>
              <w:rPr>
                <w:rFonts w:hint="eastAsia"/>
              </w:rPr>
              <w:t>1、在</w:t>
            </w:r>
            <w:r>
              <w:rPr>
                <w:rFonts w:hint="eastAsia"/>
                <w:lang w:val="en-US" w:eastAsia="zh-CN"/>
              </w:rPr>
              <w:t>采购人</w:t>
            </w:r>
            <w:r>
              <w:rPr>
                <w:rFonts w:hint="eastAsia"/>
              </w:rPr>
              <w:t>发现上报设备故障2小时内赶到现场进行维修，如遇配件损坏需要更换的由服务方提供（不含消防气体、电池等维修更换），在配件到货后继续进行维修，直至设备正常运行。</w:t>
            </w:r>
          </w:p>
          <w:p>
            <w:pPr>
              <w:rPr>
                <w:rFonts w:hint="eastAsia"/>
              </w:rPr>
            </w:pPr>
            <w:r>
              <w:rPr>
                <w:rFonts w:hint="eastAsia"/>
              </w:rPr>
              <w:t>2、 提供常见维修配件的备件备货，并做好每次的服务详细记录，将其被更换原件和更换记录提供给校方。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pPr>
              <w:rPr>
                <w:rFonts w:hint="eastAsia"/>
              </w:rPr>
            </w:pPr>
            <w:r>
              <w:rPr>
                <w:rFonts w:hint="eastAsia"/>
              </w:rPr>
              <w:t>2</w:t>
            </w:r>
          </w:p>
        </w:tc>
        <w:tc>
          <w:tcPr>
            <w:tcW w:w="1720" w:type="dxa"/>
            <w:tcBorders>
              <w:top w:val="single" w:color="auto" w:sz="4" w:space="0"/>
              <w:left w:val="single" w:color="auto" w:sz="4" w:space="0"/>
              <w:bottom w:val="single" w:color="auto" w:sz="4" w:space="0"/>
            </w:tcBorders>
            <w:vAlign w:val="center"/>
          </w:tcPr>
          <w:p>
            <w:pPr>
              <w:rPr>
                <w:rFonts w:hint="eastAsia"/>
              </w:rPr>
            </w:pPr>
            <w:r>
              <w:rPr>
                <w:rFonts w:hint="eastAsia"/>
              </w:rPr>
              <w:t>季度维护服务（每季度一次）</w:t>
            </w:r>
          </w:p>
        </w:tc>
        <w:tc>
          <w:tcPr>
            <w:tcW w:w="5877" w:type="dxa"/>
            <w:tcBorders>
              <w:top w:val="single" w:color="auto" w:sz="4" w:space="0"/>
              <w:left w:val="single" w:color="auto" w:sz="4" w:space="0"/>
              <w:bottom w:val="single" w:color="auto" w:sz="4" w:space="0"/>
            </w:tcBorders>
            <w:vAlign w:val="center"/>
          </w:tcPr>
          <w:p>
            <w:pPr>
              <w:rPr>
                <w:rFonts w:hint="eastAsia"/>
              </w:rPr>
            </w:pPr>
            <w:r>
              <w:rPr>
                <w:rFonts w:hint="eastAsia"/>
              </w:rPr>
              <w:t>1、动环监控平台维护：保障动环监控平台稳定（包含：湿度、烟雾、漏水、运行配电、制冷、UPS、机柜微环境温湿度、烟雾等），确保各类机房基础设施设备异常可以通过短信、邮件等发送到相关人员。</w:t>
            </w:r>
          </w:p>
          <w:p>
            <w:pPr>
              <w:rPr>
                <w:rFonts w:hint="eastAsia"/>
              </w:rPr>
            </w:pPr>
            <w:r>
              <w:rPr>
                <w:rFonts w:hint="eastAsia"/>
              </w:rPr>
              <w:t>2、智能机柜系统维护：对智能机柜等监测情况及设备工作状态进行检查，智能机柜微环境门禁安全管理相关设备工作状态检查，机柜微环境智能热管理功能检查、维修、更换。</w:t>
            </w:r>
          </w:p>
          <w:p>
            <w:pPr>
              <w:rPr>
                <w:rFonts w:hint="eastAsia"/>
              </w:rPr>
            </w:pPr>
            <w:r>
              <w:rPr>
                <w:rFonts w:hint="eastAsia"/>
              </w:rPr>
              <w:t>3、机房配电维护：对配电系统开关仪表外观、显示、声音、电压、电流等状态进行巡检、维护，对开关状态、外观等进行检查。</w:t>
            </w:r>
          </w:p>
          <w:p>
            <w:pPr>
              <w:rPr>
                <w:rFonts w:hint="eastAsia"/>
              </w:rPr>
            </w:pPr>
            <w:r>
              <w:rPr>
                <w:rFonts w:hint="eastAsia"/>
              </w:rPr>
              <w:t>4、UPS系统维护：检查UPS运行状态，记录各种运行数据，包括电压、电流、频率、功率、带载率等；检查UPS报警情况，判断UPS本身是否存在问题；观察UPS风扇有无异响，运行是否正常；观察UPS主机内部有无异响、震动；观察UPS输入、输出柜各进出线开关状态；观察电池外观有无明显鼓胀、渗液或开裂；对电池电压、电阻、接线端子等进行检查；对电池进行充放电测试，电池组应放电至额定容量的60-70%，并记录放电后再次充满时的后备时间。</w:t>
            </w:r>
          </w:p>
          <w:p>
            <w:pPr>
              <w:rPr>
                <w:rFonts w:hint="eastAsia"/>
              </w:rPr>
            </w:pPr>
            <w:r>
              <w:rPr>
                <w:rFonts w:hint="eastAsia"/>
              </w:rPr>
              <w:t>5、精密空调系统维护：查看空调内外机有无异响，压缩机运行及压力情况，过滤网堵塞情况，室内机加热、加湿、除湿等工作情况；进水、排水管进行检查、疏通，确保精密空调处于最佳运行状态，达到设计功率要求；加湿器清洗；过滤网清洁；制冷管路检测；压缩机压力检测；空调制冷参数换季调整等。</w:t>
            </w:r>
          </w:p>
          <w:p>
            <w:pPr>
              <w:rPr>
                <w:rFonts w:hint="eastAsia"/>
              </w:rPr>
            </w:pPr>
            <w:r>
              <w:rPr>
                <w:rFonts w:hint="eastAsia"/>
              </w:rPr>
              <w:t>6、消防系统维护：消防报警系统工作状态检查，气体灭火控制盘、温湿度、烟雾、紧急启停按钮、放气勿入指示灯等是否工作正常；检测气体灭火钢瓶组气压是否正常，压力应不小于设计压力的90%，检测钢瓶表面是否有腐蚀、裂纹、变形等情况，发现上述问题应及时反馈提出维修、更换意见。</w:t>
            </w:r>
          </w:p>
          <w:p>
            <w:pPr>
              <w:rPr>
                <w:rFonts w:hint="eastAsia"/>
              </w:rPr>
            </w:pPr>
            <w:r>
              <w:rPr>
                <w:rFonts w:hint="eastAsia"/>
              </w:rPr>
              <w:t>7、机房门禁监控系统维护：机房各功能区域视频监控系统及门禁系统工作状态进行检查，保障系统正常稳定运行，监控存储符合设计要求。</w:t>
            </w:r>
          </w:p>
          <w:p>
            <w:pPr>
              <w:rPr>
                <w:rFonts w:hint="eastAsia"/>
              </w:rPr>
            </w:pPr>
            <w:r>
              <w:rPr>
                <w:rFonts w:hint="eastAsia"/>
              </w:rPr>
              <w:t>8、机房卫生：需进行机房环境清洁，并对机房机柜、设备进行除尘清洁，并且更换沾尘垫。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pPr>
              <w:rPr>
                <w:rFonts w:hint="eastAsia"/>
              </w:rPr>
            </w:pPr>
            <w:r>
              <w:rPr>
                <w:rFonts w:hint="eastAsia"/>
              </w:rPr>
              <w:t>3</w:t>
            </w:r>
          </w:p>
        </w:tc>
        <w:tc>
          <w:tcPr>
            <w:tcW w:w="1720" w:type="dxa"/>
            <w:tcBorders>
              <w:top w:val="single" w:color="auto" w:sz="4" w:space="0"/>
              <w:left w:val="single" w:color="auto" w:sz="4" w:space="0"/>
              <w:bottom w:val="single" w:color="auto" w:sz="4" w:space="0"/>
            </w:tcBorders>
            <w:vAlign w:val="center"/>
          </w:tcPr>
          <w:p>
            <w:pPr>
              <w:rPr>
                <w:rFonts w:hint="eastAsia"/>
              </w:rPr>
            </w:pPr>
            <w:r>
              <w:rPr>
                <w:rFonts w:hint="eastAsia"/>
              </w:rPr>
              <w:t>年度维护服务（每年一次）</w:t>
            </w:r>
          </w:p>
        </w:tc>
        <w:tc>
          <w:tcPr>
            <w:tcW w:w="5877" w:type="dxa"/>
            <w:tcBorders>
              <w:top w:val="single" w:color="auto" w:sz="4" w:space="0"/>
              <w:left w:val="single" w:color="auto" w:sz="4" w:space="0"/>
              <w:bottom w:val="single" w:color="auto" w:sz="4" w:space="0"/>
            </w:tcBorders>
            <w:vAlign w:val="center"/>
          </w:tcPr>
          <w:p>
            <w:pPr>
              <w:rPr>
                <w:rFonts w:hint="eastAsia"/>
              </w:rPr>
            </w:pPr>
            <w:r>
              <w:rPr>
                <w:rFonts w:hint="eastAsia"/>
              </w:rPr>
              <w:t>1、机房深度清洁：对机房环境进行深度清洁，并对机房内所有设备进行深度除尘。包含基础环境深度清洁、基础设施设备深度除尘、IT设备深度除尘及带电清洁。</w:t>
            </w:r>
          </w:p>
          <w:p>
            <w:pPr>
              <w:rPr>
                <w:rFonts w:hint="eastAsia"/>
              </w:rPr>
            </w:pPr>
            <w:r>
              <w:rPr>
                <w:rFonts w:hint="eastAsia"/>
              </w:rPr>
              <w:t>2、动环监控平台维护：完成季度维护工作，并对系统版本进行检查更新，对系统进行优化处理，清除垃圾数据及日志，并提供短信告警平台年服务。机房基础设施管理平台发生橙色或红色异常告警时通过短信方式通知。当机房内部出现温湿度、烟雾、漏水、配电、制冷等异常情况时，管理平台通过橙色或红色告警触发短信告警机制，实时发送告警短信告知运维人员，帮助运维人员快速响应故障。</w:t>
            </w:r>
          </w:p>
          <w:p>
            <w:pPr>
              <w:rPr>
                <w:rFonts w:hint="eastAsia"/>
              </w:rPr>
            </w:pPr>
            <w:r>
              <w:rPr>
                <w:rFonts w:hint="eastAsia"/>
              </w:rPr>
              <w:t>3、智能机柜系统维护：完成季度维护工作，并做好全年检测台账。</w:t>
            </w:r>
          </w:p>
          <w:p>
            <w:pPr>
              <w:rPr>
                <w:rFonts w:hint="eastAsia"/>
              </w:rPr>
            </w:pPr>
            <w:r>
              <w:rPr>
                <w:rFonts w:hint="eastAsia"/>
              </w:rPr>
              <w:t>4、机房配电维护：完成季度维护工作，对线路及开关接线处进行检查，对松动部件进行紧固，各母线连接、绝缘支撑、安装固定等检查。</w:t>
            </w:r>
          </w:p>
          <w:p>
            <w:pPr>
              <w:rPr>
                <w:rFonts w:hint="eastAsia"/>
              </w:rPr>
            </w:pPr>
            <w:r>
              <w:rPr>
                <w:rFonts w:hint="eastAsia"/>
              </w:rPr>
              <w:t>5、UPS系统维护：完成季度维护工作，UPS参数校对、UPS主路、旁路等逆变测试；对后备电池放电情况进行分析，根据分析结果评估电池健康状态及损耗情况。</w:t>
            </w:r>
          </w:p>
          <w:p>
            <w:pPr>
              <w:rPr>
                <w:rFonts w:hint="eastAsia"/>
              </w:rPr>
            </w:pPr>
            <w:r>
              <w:rPr>
                <w:rFonts w:hint="eastAsia"/>
              </w:rPr>
              <w:t>6、精密空调系统维护：完成季度维护工作，对精密空调加湿罐进行更换（每年度不少于1次），过滤网更换（每年度不少于2次）等。</w:t>
            </w:r>
          </w:p>
          <w:p>
            <w:pPr>
              <w:rPr>
                <w:rFonts w:hint="eastAsia"/>
              </w:rPr>
            </w:pPr>
            <w:r>
              <w:rPr>
                <w:rFonts w:hint="eastAsia"/>
              </w:rPr>
              <w:t xml:space="preserve">7、消防系统维护：完成季度维护工作。 </w:t>
            </w:r>
          </w:p>
          <w:p>
            <w:pPr>
              <w:rPr>
                <w:rFonts w:hint="eastAsia"/>
              </w:rPr>
            </w:pPr>
            <w:r>
              <w:rPr>
                <w:rFonts w:hint="eastAsia"/>
              </w:rPr>
              <w:t>8、机房门禁监控系统维护：完成季度维护工作，对系统版本进行检查更新，并且进行安全扫描以及功能维护。</w:t>
            </w:r>
          </w:p>
          <w:p>
            <w:pPr>
              <w:rPr>
                <w:rFonts w:hint="eastAsia"/>
              </w:rPr>
            </w:pPr>
            <w:r>
              <w:rPr>
                <w:rFonts w:hint="eastAsia"/>
              </w:rPr>
              <w:t>9、服务方需根据机房实际运行情况提供后期机房更新及完善建议方案（如用电、制冷、防水等）。</w:t>
            </w:r>
          </w:p>
          <w:p>
            <w:pPr>
              <w:pStyle w:val="2"/>
              <w:ind w:firstLine="0" w:firstLineChars="0"/>
              <w:rPr>
                <w:rFonts w:hint="eastAsia"/>
              </w:rPr>
            </w:pPr>
            <w:r>
              <w:rPr>
                <w:rFonts w:hint="eastAsia"/>
              </w:rPr>
              <w:t>10、线路整理服务:服务方需根据用户方要求做好机房、楼层交换中的各类线路（包括网线、光纤、电源线等）的整理和标识。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pPr>
              <w:rPr>
                <w:rFonts w:hint="eastAsia"/>
              </w:rPr>
            </w:pPr>
            <w:r>
              <w:rPr>
                <w:rFonts w:hint="eastAsia"/>
              </w:rPr>
              <w:t>4</w:t>
            </w:r>
          </w:p>
        </w:tc>
        <w:tc>
          <w:tcPr>
            <w:tcW w:w="1720" w:type="dxa"/>
            <w:tcBorders>
              <w:top w:val="single" w:color="auto" w:sz="4" w:space="0"/>
              <w:left w:val="single" w:color="auto" w:sz="4" w:space="0"/>
              <w:bottom w:val="single" w:color="auto" w:sz="4" w:space="0"/>
            </w:tcBorders>
            <w:vAlign w:val="center"/>
          </w:tcPr>
          <w:p>
            <w:pPr>
              <w:rPr>
                <w:rFonts w:hint="eastAsia"/>
              </w:rPr>
            </w:pPr>
            <w:r>
              <w:rPr>
                <w:rFonts w:hint="eastAsia"/>
              </w:rPr>
              <w:t>应急保障服务（不限次数）</w:t>
            </w:r>
          </w:p>
        </w:tc>
        <w:tc>
          <w:tcPr>
            <w:tcW w:w="5877" w:type="dxa"/>
            <w:tcBorders>
              <w:top w:val="single" w:color="auto" w:sz="4" w:space="0"/>
              <w:left w:val="single" w:color="auto" w:sz="4" w:space="0"/>
              <w:bottom w:val="single" w:color="auto" w:sz="4" w:space="0"/>
            </w:tcBorders>
            <w:vAlign w:val="center"/>
          </w:tcPr>
          <w:p>
            <w:pPr>
              <w:rPr>
                <w:rFonts w:hint="eastAsia"/>
              </w:rPr>
            </w:pPr>
            <w:r>
              <w:rPr>
                <w:rFonts w:hint="eastAsia"/>
              </w:rPr>
              <w:t>1、提供机房运维应急保障服务，机房出现事故抢修、停电检修、安全检查、维修服务等需要供应商提供应急保障协助服务，协助学校对及其他第三方质保服务单位完成机房运维应急保障服务。在接到应急保障服务电话后立即响应，派驻相关专业工程师2小时内赶到现场，服务周期内应随叫随到。</w:t>
            </w:r>
          </w:p>
          <w:p>
            <w:pPr>
              <w:rPr>
                <w:rFonts w:hint="eastAsia"/>
              </w:rPr>
            </w:pPr>
            <w:r>
              <w:rPr>
                <w:rFonts w:hint="eastAsia"/>
              </w:rPr>
              <w:t>2、每次的服务详细记录，并在项目验收时，将其被更换原件和更换记录提供给</w:t>
            </w:r>
            <w:r>
              <w:rPr>
                <w:rFonts w:hint="eastAsia"/>
                <w:lang w:val="en-US" w:eastAsia="zh-CN"/>
              </w:rPr>
              <w:t>采购人</w:t>
            </w:r>
            <w:r>
              <w:rPr>
                <w:rFonts w:hint="eastAsia"/>
              </w:rPr>
              <w:t>。</w:t>
            </w:r>
          </w:p>
        </w:tc>
      </w:tr>
      <w:bookmarkEnd w:id="2"/>
    </w:tbl>
    <w:p>
      <w:pPr>
        <w:rPr>
          <w:rFonts w:hint="eastAsia"/>
          <w:b/>
        </w:rPr>
      </w:pPr>
      <w:r>
        <w:rPr>
          <w:rFonts w:hint="eastAsia"/>
          <w:b/>
        </w:rPr>
        <w:t>三、服务要求（技术要求里另有注明的以技术要求为准）</w:t>
      </w:r>
      <w:bookmarkEnd w:id="3"/>
    </w:p>
    <w:tbl>
      <w:tblPr>
        <w:tblStyle w:val="8"/>
        <w:tblW w:w="8346"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0"/>
        <w:gridCol w:w="7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pPr>
              <w:rPr>
                <w:rFonts w:hint="eastAsia"/>
              </w:rPr>
            </w:pPr>
            <w:r>
              <w:rPr>
                <w:rFonts w:hint="eastAsia"/>
              </w:rPr>
              <w:t>服务标准</w:t>
            </w:r>
          </w:p>
        </w:tc>
        <w:tc>
          <w:tcPr>
            <w:tcW w:w="7166" w:type="dxa"/>
            <w:tcBorders>
              <w:top w:val="single" w:color="auto" w:sz="4" w:space="0"/>
              <w:left w:val="single" w:color="auto" w:sz="4" w:space="0"/>
              <w:bottom w:val="single" w:color="auto" w:sz="4" w:space="0"/>
            </w:tcBorders>
            <w:vAlign w:val="center"/>
          </w:tcPr>
          <w:p>
            <w:pPr>
              <w:rPr>
                <w:rFonts w:hint="eastAsia"/>
              </w:rPr>
            </w:pPr>
            <w:r>
              <w:rPr>
                <w:rFonts w:hint="eastAsia"/>
              </w:rPr>
              <w:t>1、供应商</w:t>
            </w:r>
            <w:r>
              <w:t>必须具备较强的本地（杭州）技术支持力量，提供24小时技术支持服务，对不影响用户方各类应用正常使用的问题2小时内派工程师到现场解决，对影响用户方各类应用正常使用的问题1小时内派工程师到现场解决，</w:t>
            </w:r>
            <w:r>
              <w:rPr>
                <w:rFonts w:hint="eastAsia"/>
                <w:lang w:val="en-US" w:eastAsia="zh-CN"/>
              </w:rPr>
              <w:t>2</w:t>
            </w:r>
            <w:r>
              <w:t>小时内无法解决的，须在用户报修后</w:t>
            </w:r>
            <w:r>
              <w:rPr>
                <w:rFonts w:hint="eastAsia"/>
                <w:lang w:val="en-US" w:eastAsia="zh-CN"/>
              </w:rPr>
              <w:t>4</w:t>
            </w:r>
            <w:r>
              <w:t>小时内提供不低于保修机器档次的备机。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2、做好巡检、维护等相关台账记录。</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lang w:val="en-US" w:eastAsia="zh-CN"/>
              </w:rPr>
              <w:t>3、</w:t>
            </w:r>
            <w:r>
              <w:t>在规定时间内不能解决故障，采购人有权寻求第三方协助，由此产生费用由投标人承担。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80" w:type="dxa"/>
            <w:tcBorders>
              <w:top w:val="single" w:color="auto" w:sz="4" w:space="0"/>
              <w:bottom w:val="single" w:color="auto" w:sz="4" w:space="0"/>
              <w:right w:val="single" w:color="auto" w:sz="4" w:space="0"/>
            </w:tcBorders>
            <w:vAlign w:val="center"/>
          </w:tcPr>
          <w:p>
            <w:pPr>
              <w:rPr>
                <w:rFonts w:hint="eastAsia"/>
              </w:rPr>
            </w:pPr>
            <w:r>
              <w:rPr>
                <w:rFonts w:hint="eastAsia"/>
              </w:rPr>
              <w:t>售后要求</w:t>
            </w:r>
          </w:p>
        </w:tc>
        <w:tc>
          <w:tcPr>
            <w:tcW w:w="7166" w:type="dxa"/>
            <w:tcBorders>
              <w:top w:val="single" w:color="auto" w:sz="4" w:space="0"/>
              <w:left w:val="single" w:color="auto" w:sz="4" w:space="0"/>
              <w:bottom w:val="single" w:color="auto" w:sz="4" w:space="0"/>
            </w:tcBorders>
            <w:vAlign w:val="center"/>
          </w:tcPr>
          <w:p>
            <w:pPr>
              <w:rPr>
                <w:rFonts w:hint="eastAsia"/>
              </w:rPr>
            </w:pPr>
            <w:r>
              <w:rPr>
                <w:rFonts w:hint="eastAsia"/>
              </w:rPr>
              <w:t>设备更换后，更换设备保修一年。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80" w:type="dxa"/>
            <w:tcBorders>
              <w:top w:val="single" w:color="auto" w:sz="4" w:space="0"/>
              <w:bottom w:val="single" w:color="auto" w:sz="4" w:space="0"/>
              <w:right w:val="single" w:color="auto" w:sz="4" w:space="0"/>
            </w:tcBorders>
            <w:vAlign w:val="center"/>
          </w:tcPr>
          <w:p>
            <w:pPr>
              <w:rPr>
                <w:rFonts w:hint="eastAsia"/>
              </w:rPr>
            </w:pPr>
            <w:r>
              <w:rPr>
                <w:rFonts w:hint="eastAsia"/>
              </w:rPr>
              <w:t>培训要求</w:t>
            </w:r>
          </w:p>
        </w:tc>
        <w:tc>
          <w:tcPr>
            <w:tcW w:w="7166" w:type="dxa"/>
            <w:tcBorders>
              <w:top w:val="single" w:color="auto" w:sz="4" w:space="0"/>
              <w:left w:val="single" w:color="auto" w:sz="4" w:space="0"/>
              <w:bottom w:val="single" w:color="auto" w:sz="4" w:space="0"/>
            </w:tcBorders>
            <w:vAlign w:val="center"/>
          </w:tcPr>
          <w:p>
            <w:pPr>
              <w:rPr>
                <w:rFonts w:hint="eastAsia"/>
              </w:rPr>
            </w:pPr>
            <w:r>
              <w:rPr>
                <w:rFonts w:hint="eastAsia"/>
              </w:rPr>
              <w:t>每年提供不少于一次机房基础设施设备培训服务。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pPr>
              <w:rPr>
                <w:rFonts w:hint="eastAsia"/>
              </w:rPr>
            </w:pPr>
            <w:r>
              <w:rPr>
                <w:rFonts w:hint="eastAsia"/>
              </w:rPr>
              <w:t>服务地点</w:t>
            </w:r>
          </w:p>
        </w:tc>
        <w:tc>
          <w:tcPr>
            <w:tcW w:w="7166" w:type="dxa"/>
            <w:tcBorders>
              <w:top w:val="single" w:color="auto" w:sz="4" w:space="0"/>
              <w:left w:val="single" w:color="auto" w:sz="4" w:space="0"/>
              <w:bottom w:val="single" w:color="auto" w:sz="4" w:space="0"/>
            </w:tcBorders>
            <w:vAlign w:val="center"/>
          </w:tcPr>
          <w:p>
            <w:pPr>
              <w:rPr>
                <w:rFonts w:hint="eastAsia"/>
              </w:rPr>
            </w:pPr>
            <w:r>
              <w:rPr>
                <w:rFonts w:hint="eastAsia"/>
              </w:rPr>
              <w:t>浙江水利水电学院钱塘校区现代教育中心北楼3楼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pPr>
              <w:rPr>
                <w:rFonts w:hint="eastAsia"/>
              </w:rPr>
            </w:pPr>
            <w:r>
              <w:rPr>
                <w:rFonts w:hint="eastAsia"/>
              </w:rPr>
              <w:t>验收</w:t>
            </w:r>
            <w:r>
              <w:t>标准</w:t>
            </w:r>
            <w:r>
              <w:rPr>
                <w:rFonts w:hint="eastAsia"/>
              </w:rPr>
              <w:t>及要求</w:t>
            </w:r>
          </w:p>
        </w:tc>
        <w:tc>
          <w:tcPr>
            <w:tcW w:w="7166" w:type="dxa"/>
            <w:tcBorders>
              <w:top w:val="single" w:color="auto" w:sz="4" w:space="0"/>
              <w:left w:val="single" w:color="auto" w:sz="4" w:space="0"/>
              <w:bottom w:val="single" w:color="auto" w:sz="4" w:space="0"/>
            </w:tcBorders>
            <w:vAlign w:val="center"/>
          </w:tcPr>
          <w:p>
            <w:pPr>
              <w:rPr>
                <w:rFonts w:hint="eastAsia"/>
              </w:rPr>
            </w:pPr>
            <w:r>
              <w:rPr>
                <w:rFonts w:hint="eastAsia"/>
              </w:rPr>
              <w:t>1</w:t>
            </w:r>
            <w:r>
              <w:t>.</w:t>
            </w:r>
            <w:r>
              <w:rPr>
                <w:rFonts w:hint="eastAsia"/>
              </w:rPr>
              <w:t>成交供应商应提供合同服务的有效检验文件，经采购人认可后，与合同的服务指标一起作为合同验收标准。在合同期限内采购人将对成交供应商提供的服务进行抽检验收，验收中发现合同服务达不到验收标准或合同规定的服务要求，成交供应商必须更换合同服务，并负担由此给采购人造成的损失，直到验收合格为止。</w:t>
            </w:r>
          </w:p>
          <w:p>
            <w:pPr>
              <w:rPr>
                <w:rFonts w:hint="eastAsia"/>
              </w:rPr>
            </w:pPr>
            <w:r>
              <w:rPr>
                <w:rFonts w:hint="eastAsia"/>
              </w:rPr>
              <w:t>2</w:t>
            </w:r>
            <w:r>
              <w:t>.</w:t>
            </w:r>
            <w:r>
              <w:rPr>
                <w:rFonts w:hint="eastAsia"/>
              </w:rPr>
              <w:t>供应商应于响应文件中提供合同服务的验收标准和评价办法，并在验收中提供采购人认可的相应服务评价手段，验收标准应符合中国有关的国家、地方、行业的标准，如若成交，经采购人确认后作为验收的依据。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pPr>
              <w:rPr>
                <w:rFonts w:hint="eastAsia"/>
              </w:rPr>
            </w:pPr>
            <w:bookmarkStart w:id="4" w:name="OLE_LINK3" w:colFirst="0" w:colLast="0"/>
            <w:r>
              <w:rPr>
                <w:rFonts w:hint="eastAsia"/>
              </w:rPr>
              <w:t>供应商资信及履约要求</w:t>
            </w:r>
          </w:p>
        </w:tc>
        <w:tc>
          <w:tcPr>
            <w:tcW w:w="7166" w:type="dxa"/>
            <w:tcBorders>
              <w:top w:val="single" w:color="auto" w:sz="4" w:space="0"/>
              <w:left w:val="single" w:color="auto" w:sz="4" w:space="0"/>
              <w:bottom w:val="single" w:color="auto" w:sz="4" w:space="0"/>
            </w:tcBorders>
            <w:vAlign w:val="center"/>
          </w:tcPr>
          <w:p>
            <w:pPr>
              <w:rPr>
                <w:rFonts w:hint="eastAsia"/>
              </w:rPr>
            </w:pPr>
            <w:r>
              <w:rPr>
                <w:rFonts w:hint="eastAsia"/>
              </w:rPr>
              <w:t>投标人至少具备以下任一一项有效资质：ISO9000质量管理体系认证、ISO27001信息安全管理体系认证、IS0/1EC 20000-1:2018。</w:t>
            </w:r>
          </w:p>
        </w:tc>
      </w:tr>
      <w:bookmarkEnd w:id="4"/>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pPr>
              <w:rPr>
                <w:rFonts w:hint="eastAsia"/>
              </w:rPr>
            </w:pPr>
            <w:r>
              <w:rPr>
                <w:rFonts w:hint="eastAsia"/>
              </w:rPr>
              <w:t>付款方式</w:t>
            </w:r>
          </w:p>
        </w:tc>
        <w:tc>
          <w:tcPr>
            <w:tcW w:w="7166" w:type="dxa"/>
            <w:tcBorders>
              <w:top w:val="single" w:color="auto" w:sz="4" w:space="0"/>
              <w:left w:val="single" w:color="auto" w:sz="4" w:space="0"/>
              <w:bottom w:val="single" w:color="auto" w:sz="4" w:space="0"/>
            </w:tcBorders>
            <w:vAlign w:val="center"/>
          </w:tcPr>
          <w:p>
            <w:pPr>
              <w:rPr>
                <w:rFonts w:hint="eastAsia"/>
              </w:rPr>
            </w:pPr>
            <w:r>
              <w:rPr>
                <w:rFonts w:hint="eastAsia"/>
              </w:rPr>
              <w:t>在合同生效且采购人收到中标人的发票后15个工作日内采购人支付合同金额的40%，剩余款项在服务履约验收后支付</w:t>
            </w:r>
          </w:p>
        </w:tc>
      </w:tr>
    </w:tbl>
    <w:p>
      <w:pPr>
        <w:rPr>
          <w:rFonts w:hint="eastAsia"/>
        </w:rPr>
      </w:pPr>
      <w:bookmarkStart w:id="5" w:name="_Toc7858"/>
      <w:bookmarkStart w:id="6" w:name="_Toc432621837"/>
      <w:bookmarkStart w:id="7" w:name="_Toc417054391"/>
      <w:bookmarkStart w:id="8" w:name="_Toc18877"/>
      <w:bookmarkStart w:id="9" w:name="_Toc417054474"/>
    </w:p>
    <w:p>
      <w:pPr>
        <w:rPr>
          <w:rFonts w:hint="eastAsia"/>
          <w:b/>
        </w:rPr>
      </w:pPr>
      <w:r>
        <w:rPr>
          <w:rFonts w:hint="eastAsia"/>
          <w:b/>
        </w:rPr>
        <w:t>四、重要说明</w:t>
      </w:r>
      <w:bookmarkEnd w:id="5"/>
      <w:bookmarkEnd w:id="6"/>
      <w:bookmarkEnd w:id="7"/>
      <w:bookmarkEnd w:id="8"/>
      <w:bookmarkEnd w:id="9"/>
    </w:p>
    <w:p>
      <w:pPr>
        <w:rPr>
          <w:rFonts w:hint="eastAsia"/>
        </w:rPr>
      </w:pPr>
      <w:r>
        <w:rPr>
          <w:rFonts w:hint="eastAsia"/>
        </w:rPr>
        <w:t>1.</w:t>
      </w:r>
      <w:r>
        <w:t xml:space="preserve"> </w:t>
      </w:r>
      <w:r>
        <w:rPr>
          <w:rFonts w:hint="eastAsia"/>
        </w:rPr>
        <w:t>供应商必须根据采购人提供的信息予以响应，质量必须达到或高于采购的要求。</w:t>
      </w:r>
    </w:p>
    <w:p>
      <w:pPr>
        <w:rPr>
          <w:rFonts w:hint="eastAsia"/>
        </w:rPr>
      </w:pPr>
      <w:r>
        <w:rPr>
          <w:rFonts w:hint="eastAsia"/>
        </w:rPr>
        <w:t>2. 采购文件中的服务要求参数只是采购人提出的一些原则性参数，并不是详尽的要求，供应商有责任完善对提供服务的详细说明。</w:t>
      </w:r>
    </w:p>
    <w:p>
      <w:pPr>
        <w:rPr>
          <w:rFonts w:hint="eastAsia"/>
        </w:rPr>
      </w:pPr>
      <w:r>
        <w:rPr>
          <w:rFonts w:hint="eastAsia"/>
        </w:rPr>
        <w:t>3. 供应商提供的服务在使用过程中因质量问题影响采购人的正常使用，要负相应责任，并向采购人赔偿损失，采购人有权向相关管理部门进行投诉。</w:t>
      </w:r>
    </w:p>
    <w:p>
      <w:pPr>
        <w:rPr>
          <w:rFonts w:hint="eastAsia"/>
        </w:rPr>
      </w:pPr>
      <w:r>
        <w:rPr>
          <w:rFonts w:hint="eastAsia"/>
        </w:rPr>
        <w:t>4. 供应商须保证所提供的服务包括相关附件应符合国家有关规定，应由供应商负责，采购人不承担责任。</w:t>
      </w:r>
    </w:p>
    <w:p>
      <w:pPr>
        <w:rPr>
          <w:rFonts w:hint="eastAsia"/>
        </w:rPr>
      </w:pPr>
      <w:r>
        <w:rPr>
          <w:rFonts w:hint="eastAsia"/>
        </w:rPr>
        <w:br w:type="page"/>
      </w:r>
    </w:p>
    <w:p>
      <w:pPr>
        <w:rPr>
          <w:rFonts w:hint="eastAsia"/>
        </w:rPr>
      </w:pPr>
    </w:p>
    <w:p>
      <w:pPr>
        <w:rPr>
          <w:rFonts w:hint="eastAsia"/>
          <w:b/>
        </w:rPr>
      </w:pPr>
      <w:r>
        <w:rPr>
          <w:rFonts w:hint="eastAsia"/>
          <w:b/>
        </w:rPr>
        <w:t>附录1</w:t>
      </w:r>
    </w:p>
    <w:p>
      <w:pPr>
        <w:pStyle w:val="2"/>
        <w:jc w:val="center"/>
        <w:rPr>
          <w:rFonts w:hint="eastAsia"/>
          <w:b/>
          <w:bCs/>
        </w:rPr>
      </w:pPr>
      <w:r>
        <w:rPr>
          <w:rFonts w:hint="eastAsia"/>
          <w:b/>
          <w:bCs/>
        </w:rPr>
        <w:t>机房主要基础设施设备情况</w:t>
      </w:r>
    </w:p>
    <w:tbl>
      <w:tblPr>
        <w:tblStyle w:val="8"/>
        <w:tblW w:w="9781" w:type="dxa"/>
        <w:tblInd w:w="-714" w:type="dxa"/>
        <w:tblLayout w:type="fixed"/>
        <w:tblCellMar>
          <w:top w:w="0" w:type="dxa"/>
          <w:left w:w="108" w:type="dxa"/>
          <w:bottom w:w="0" w:type="dxa"/>
          <w:right w:w="108" w:type="dxa"/>
        </w:tblCellMar>
      </w:tblPr>
      <w:tblGrid>
        <w:gridCol w:w="417"/>
        <w:gridCol w:w="1387"/>
        <w:gridCol w:w="2166"/>
        <w:gridCol w:w="1134"/>
        <w:gridCol w:w="1842"/>
        <w:gridCol w:w="709"/>
        <w:gridCol w:w="709"/>
        <w:gridCol w:w="1417"/>
      </w:tblGrid>
      <w:tr>
        <w:tblPrEx>
          <w:tblLayout w:type="fixed"/>
          <w:tblCellMar>
            <w:top w:w="0" w:type="dxa"/>
            <w:left w:w="108" w:type="dxa"/>
            <w:bottom w:w="0" w:type="dxa"/>
            <w:right w:w="108" w:type="dxa"/>
          </w:tblCellMar>
        </w:tblPrEx>
        <w:trPr>
          <w:trHeight w:val="480" w:hRule="atLeast"/>
        </w:trPr>
        <w:tc>
          <w:tcPr>
            <w:tcW w:w="41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35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品牌</w:t>
            </w:r>
          </w:p>
        </w:tc>
        <w:tc>
          <w:tcPr>
            <w:tcW w:w="184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规格型号</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141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Layout w:type="fixed"/>
          <w:tblCellMar>
            <w:top w:w="0" w:type="dxa"/>
            <w:left w:w="108" w:type="dxa"/>
            <w:bottom w:w="0" w:type="dxa"/>
            <w:right w:w="108" w:type="dxa"/>
          </w:tblCellMar>
        </w:tblPrEx>
        <w:trPr>
          <w:trHeight w:val="276" w:hRule="atLeast"/>
        </w:trPr>
        <w:tc>
          <w:tcPr>
            <w:tcW w:w="41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szCs w:val="20"/>
              </w:rPr>
            </w:pPr>
            <w:r>
              <w:rPr>
                <w:rFonts w:hint="eastAsia" w:ascii="宋体" w:hAnsi="宋体" w:eastAsia="宋体" w:cs="宋体"/>
                <w:color w:val="000000"/>
                <w:kern w:val="0"/>
                <w:sz w:val="20"/>
                <w:szCs w:val="20"/>
              </w:rPr>
              <w:t>综合管理平台</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SMC-GDAT-CONSOLE</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720" w:hRule="atLeast"/>
        </w:trPr>
        <w:tc>
          <w:tcPr>
            <w:tcW w:w="41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3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szCs w:val="20"/>
              </w:rPr>
            </w:pPr>
            <w:r>
              <w:rPr>
                <w:rFonts w:hint="eastAsia" w:ascii="宋体" w:hAnsi="宋体" w:eastAsia="宋体" w:cs="宋体"/>
                <w:color w:val="000000"/>
                <w:kern w:val="0"/>
                <w:sz w:val="20"/>
                <w:szCs w:val="20"/>
              </w:rPr>
              <w:t>机柜模块</w:t>
            </w: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安全节能柜</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GDAT35125E</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智能服务器机柜</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GDAT60125C</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网络列头柜</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GDAT60080T</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气瓶柜</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GDAT60080A</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480" w:hRule="atLeast"/>
        </w:trPr>
        <w:tc>
          <w:tcPr>
            <w:tcW w:w="41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3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szCs w:val="20"/>
              </w:rPr>
            </w:pPr>
            <w:r>
              <w:rPr>
                <w:rFonts w:hint="eastAsia" w:ascii="宋体" w:hAnsi="宋体" w:eastAsia="宋体" w:cs="宋体"/>
                <w:color w:val="000000"/>
                <w:kern w:val="0"/>
                <w:sz w:val="20"/>
                <w:szCs w:val="20"/>
              </w:rPr>
              <w:t>配电模块</w:t>
            </w: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16路智能PDU电源管理器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SMC12016A</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16路监测PDU电源管理器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SMC12016M</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智能配电列头机柜</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SMC12080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417"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8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szCs w:val="20"/>
              </w:rPr>
            </w:pPr>
            <w:r>
              <w:rPr>
                <w:rFonts w:hint="eastAsia" w:ascii="宋体" w:hAnsi="宋体" w:eastAsia="宋体" w:cs="宋体"/>
                <w:color w:val="000000"/>
                <w:kern w:val="0"/>
                <w:sz w:val="20"/>
                <w:szCs w:val="20"/>
              </w:rPr>
              <w:t>制冷模块</w:t>
            </w: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一体化精密空调</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SMC30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480" w:hRule="atLeast"/>
        </w:trPr>
        <w:tc>
          <w:tcPr>
            <w:tcW w:w="417"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等线" w:hAnsi="等线" w:eastAsia="等线"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精密空调</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维谛</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P1030D</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76" w:hRule="atLeast"/>
        </w:trPr>
        <w:tc>
          <w:tcPr>
            <w:tcW w:w="41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3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szCs w:val="20"/>
              </w:rPr>
            </w:pPr>
            <w:r>
              <w:rPr>
                <w:rFonts w:hint="eastAsia" w:ascii="宋体" w:hAnsi="宋体" w:eastAsia="宋体" w:cs="宋体"/>
                <w:color w:val="000000"/>
                <w:kern w:val="0"/>
                <w:sz w:val="20"/>
                <w:szCs w:val="20"/>
              </w:rPr>
              <w:t>控制模块</w:t>
            </w: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主控器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SMC-110C</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分控器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SMC-111C</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3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等线" w:hAnsi="等线" w:eastAsia="等线" w:cs="宋体"/>
                <w:color w:val="000000"/>
                <w:kern w:val="0"/>
                <w:sz w:val="20"/>
                <w:szCs w:val="20"/>
              </w:rPr>
            </w:pPr>
            <w:r>
              <w:rPr>
                <w:rFonts w:hint="eastAsia" w:ascii="宋体" w:hAnsi="宋体" w:eastAsia="宋体" w:cs="宋体"/>
                <w:color w:val="000000"/>
                <w:kern w:val="0"/>
                <w:sz w:val="20"/>
                <w:szCs w:val="20"/>
              </w:rPr>
              <w:t>UPS电源系统</w:t>
            </w: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UPS主机容器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SMC-3WR120K</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功率模块</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SMC-R20KVA</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蓄电池</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12V-100AH</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节</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不含电池故障更换</w:t>
            </w:r>
          </w:p>
        </w:tc>
      </w:tr>
      <w:tr>
        <w:tblPrEx>
          <w:tblLayout w:type="fixed"/>
          <w:tblCellMar>
            <w:top w:w="0" w:type="dxa"/>
            <w:left w:w="108" w:type="dxa"/>
            <w:bottom w:w="0" w:type="dxa"/>
            <w:right w:w="108" w:type="dxa"/>
          </w:tblCellMar>
        </w:tblPrEx>
        <w:trPr>
          <w:trHeight w:val="276" w:hRule="atLeast"/>
        </w:trPr>
        <w:tc>
          <w:tcPr>
            <w:tcW w:w="41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3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机房动力配电系统</w:t>
            </w: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市电配电柜</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国产</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600*600*2000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输入输出柜</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国产</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600*600*2000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3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机房气体灭火系统</w:t>
            </w: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柜式灭火装置</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佰力</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GQQ150/2.5B</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柜式灭火装置</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佰力</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GQQ90/2.5B</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灭火剂</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佰力</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HFC-227ea</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不含气体更换</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泄压件</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北大青鸟</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IG-Z41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泄压件</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北大青鸟</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IG-Z40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气体灭火控制盘</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北大青鸟</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JB-QB-JBF-11S/CE2(64)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烟感探测器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北大青鸟</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JTY-GB-JBF-4100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温感探测器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北大青鸟</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JTW-GB-JBF-4100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探测器底座</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北大青鸟</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配套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紧急启停开关</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北大青鸟</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JBF-VOP3580A</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气体释放指示灯</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北大青鸟</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J-YJLH1212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声光报警器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北大青鸟</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JBF-VM1372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电源箱</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国产</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JBF1164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3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机房安防系统</w:t>
            </w: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门禁一体机</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中控</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TF2000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门禁系统软件</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中控</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百傲瑞达3.0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80"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电磁锁（280KG带门磁）</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中控</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280KG</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开门按钮</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中控</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86型</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硬盘录像机</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海康威视</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DS8016N</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监控硬盘</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西部数据</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WD20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网络摄像机</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海康</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DS-2CD1321-I</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嵌入式环境主机</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GDAT-2008B</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线式漏水控制器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GDAT-LSKZ</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感应绳</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国产</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配套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温湿度传感器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GDAT-SZCT</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276" w:hRule="atLeast"/>
        </w:trPr>
        <w:tc>
          <w:tcPr>
            <w:tcW w:w="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13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16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烟雾传感器</w:t>
            </w:r>
          </w:p>
        </w:tc>
        <w:tc>
          <w:tcPr>
            <w:tcW w:w="113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蓝代斯克</w:t>
            </w:r>
          </w:p>
        </w:tc>
        <w:tc>
          <w:tcPr>
            <w:tcW w:w="184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JTY-GD-F343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rPr>
          <w:rFonts w:hint="eastAsia"/>
        </w:rPr>
      </w:pPr>
      <w:r>
        <w:rPr>
          <w:rFonts w:hint="eastAsia"/>
        </w:rPr>
        <w:t>具体运维</w:t>
      </w:r>
      <w:r>
        <w:rPr>
          <w:rFonts w:hint="eastAsia"/>
          <w:lang w:val="en-US" w:eastAsia="zh-CN"/>
        </w:rPr>
        <w:t>设备</w:t>
      </w:r>
      <w:r>
        <w:rPr>
          <w:rFonts w:hint="eastAsia"/>
        </w:rPr>
        <w:t>内容包括但不限于此表。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94A3E"/>
    <w:multiLevelType w:val="multilevel"/>
    <w:tmpl w:val="70194A3E"/>
    <w:lvl w:ilvl="0" w:tentative="0">
      <w:start w:val="1"/>
      <w:numFmt w:val="chineseCountingThousand"/>
      <w:lvlText w:val="%1 "/>
      <w:lvlJc w:val="left"/>
      <w:pPr>
        <w:ind w:left="425" w:hanging="425"/>
      </w:pPr>
      <w:rPr>
        <w:rFonts w:hint="eastAsia"/>
      </w:rPr>
    </w:lvl>
    <w:lvl w:ilvl="1" w:tentative="0">
      <w:start w:val="1"/>
      <w:numFmt w:val="decimal"/>
      <w:lvlText w:val="%2 "/>
      <w:lvlJc w:val="left"/>
      <w:pPr>
        <w:ind w:left="425" w:hanging="425"/>
      </w:pPr>
      <w:rPr>
        <w:rFonts w:hint="eastAsia"/>
      </w:rPr>
    </w:lvl>
    <w:lvl w:ilvl="2" w:tentative="0">
      <w:start w:val="1"/>
      <w:numFmt w:val="decimal"/>
      <w:pStyle w:val="4"/>
      <w:lvlText w:val="%2.%3 "/>
      <w:lvlJc w:val="left"/>
      <w:pPr>
        <w:ind w:left="425" w:hanging="425"/>
      </w:pPr>
      <w:rPr>
        <w:rFonts w:hint="eastAsia"/>
      </w:rPr>
    </w:lvl>
    <w:lvl w:ilvl="3" w:tentative="0">
      <w:start w:val="1"/>
      <w:numFmt w:val="decimal"/>
      <w:lvlText w:val="%2.%3.%4 "/>
      <w:lvlJc w:val="left"/>
      <w:pPr>
        <w:ind w:left="425" w:hanging="425"/>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5B"/>
    <w:rsid w:val="000B0F6D"/>
    <w:rsid w:val="00151708"/>
    <w:rsid w:val="001C5A11"/>
    <w:rsid w:val="001E56B1"/>
    <w:rsid w:val="002125BD"/>
    <w:rsid w:val="00213F06"/>
    <w:rsid w:val="00240D5E"/>
    <w:rsid w:val="00255CF9"/>
    <w:rsid w:val="003F0BCB"/>
    <w:rsid w:val="00590FA6"/>
    <w:rsid w:val="005E550C"/>
    <w:rsid w:val="006A71F8"/>
    <w:rsid w:val="00794646"/>
    <w:rsid w:val="0084003E"/>
    <w:rsid w:val="0087054C"/>
    <w:rsid w:val="008A4934"/>
    <w:rsid w:val="008F3DBB"/>
    <w:rsid w:val="00A02044"/>
    <w:rsid w:val="00A02E7B"/>
    <w:rsid w:val="00AA5E6A"/>
    <w:rsid w:val="00B43932"/>
    <w:rsid w:val="00BA0497"/>
    <w:rsid w:val="00BB1984"/>
    <w:rsid w:val="00BC5439"/>
    <w:rsid w:val="00E34429"/>
    <w:rsid w:val="00ED22B8"/>
    <w:rsid w:val="00F3465B"/>
    <w:rsid w:val="00F45F80"/>
    <w:rsid w:val="00F47B5A"/>
    <w:rsid w:val="0CA37BA0"/>
    <w:rsid w:val="136F06CA"/>
    <w:rsid w:val="20425F93"/>
    <w:rsid w:val="224417BF"/>
    <w:rsid w:val="22F33809"/>
    <w:rsid w:val="23AC1077"/>
    <w:rsid w:val="290D2B36"/>
    <w:rsid w:val="2D911348"/>
    <w:rsid w:val="322A301F"/>
    <w:rsid w:val="325374E4"/>
    <w:rsid w:val="44FC792A"/>
    <w:rsid w:val="4B5C3ACC"/>
    <w:rsid w:val="5E194988"/>
    <w:rsid w:val="640C1B3F"/>
    <w:rsid w:val="66776F6B"/>
    <w:rsid w:val="68346529"/>
    <w:rsid w:val="687A1EBA"/>
    <w:rsid w:val="6B542DE7"/>
    <w:rsid w:val="75B7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9"/>
    <w:pPr>
      <w:keepNext/>
      <w:keepLines/>
      <w:numPr>
        <w:ilvl w:val="2"/>
        <w:numId w:val="1"/>
      </w:numPr>
      <w:spacing w:before="260" w:after="260" w:line="416" w:lineRule="auto"/>
      <w:outlineLvl w:val="2"/>
    </w:pPr>
    <w:rPr>
      <w:b/>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semiHidden/>
    <w:unhideWhenUsed/>
    <w:qFormat/>
    <w:uiPriority w:val="99"/>
    <w:pPr>
      <w:ind w:firstLine="420" w:firstLineChars="100"/>
    </w:pPr>
    <w:rPr>
      <w:sz w:val="21"/>
      <w:szCs w:val="22"/>
    </w:rPr>
  </w:style>
  <w:style w:type="paragraph" w:styleId="3">
    <w:name w:val="Body Text"/>
    <w:basedOn w:val="1"/>
    <w:next w:val="2"/>
    <w:semiHidden/>
    <w:unhideWhenUsed/>
    <w:qFormat/>
    <w:uiPriority w:val="0"/>
    <w:pPr>
      <w:spacing w:after="120"/>
    </w:pPr>
    <w:rPr>
      <w:sz w:val="28"/>
      <w:szCs w:val="24"/>
    </w:rPr>
  </w:style>
  <w:style w:type="paragraph" w:styleId="5">
    <w:name w:val="Normal Indent"/>
    <w:basedOn w:val="1"/>
    <w:qFormat/>
    <w:uiPriority w:val="0"/>
    <w:pPr>
      <w:spacing w:after="0"/>
      <w:ind w:firstLine="200" w:firstLineChars="200"/>
    </w:pPr>
    <w:rPr>
      <w:rFonts w:ascii="Times New Roman" w:hAnsi="Times New Roman" w:cs="Times New Roman"/>
      <w:kern w:val="0"/>
      <w:szCs w:val="24"/>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customStyle="1" w:styleId="13">
    <w:name w:val="修订1"/>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paragraph" w:customStyle="1" w:styleId="14">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2532</Words>
  <Characters>2787</Characters>
  <Lines>348</Lines>
  <Paragraphs>354</Paragraphs>
  <TotalTime>24</TotalTime>
  <ScaleCrop>false</ScaleCrop>
  <LinksUpToDate>false</LinksUpToDate>
  <CharactersWithSpaces>4965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2026-04-08T08:59:00Z</dcterms:created>
  <dc:creator>Dell</dc:creator>
  <cp:lastModifiedBy>Wiu</cp:lastModifiedBy>
  <dcterms:modified xsi:type="dcterms:W3CDTF">2026-04-10T10:34:15Z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eyJoZGlkIjoiY2JhOGJhMWNmMjNmMDkxNzVjNzhiNDIxNTk3YTA2MTciLCJ1c2VySWQiOiI2NDQ5NzkyNzYifQ==</vt:lpwstr>
  </property>
  <property fmtid="{D5CDD505-2E9C-101B-9397-08002B2CF9AE}" pid="3" name="KSOProductBuildVer">
    <vt:lpwstr>2052-11.8.2.8276</vt:lpwstr>
  </property>
  <property fmtid="{D5CDD505-2E9C-101B-9397-08002B2CF9AE}" pid="4" name="ICV">
    <vt:lpwstr>6E0B59CA35A94B19AE3C34E18E394083_13</vt:lpwstr>
  </property>
</Properties>
</file>